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1"/>
        <w:rPr>
          <w:color w:val="000000"/>
          <w:highlight w:val="none"/>
        </w:rPr>
      </w:pPr>
      <w:r/>
      <w:bookmarkStart w:id="0" w:name="EB0db68850979244bbbfcadbd1b24729a8"/>
      <w:r/>
      <w:bookmarkEnd w:id="0"/>
      <w:r/>
      <w:bookmarkStart w:id="1" w:name="EB4ef3a0f9698547e6a4ac341bd124f10a"/>
      <w:r/>
      <w:bookmarkEnd w:id="1"/>
      <w:r>
        <w:rPr>
          <w:color w:val="000000"/>
          <w:highlight w:val="none"/>
        </w:rPr>
      </w:r>
      <w:r/>
    </w:p>
    <w:p>
      <w:pPr>
        <w:pStyle w:val="1131"/>
        <w:jc w:val="center"/>
        <w:spacing w:line="360" w:lineRule="auto"/>
        <w:rPr>
          <w:rFonts w:ascii="宋体" w:hAnsi="宋体"/>
          <w:b/>
          <w:color w:val="000000"/>
          <w:sz w:val="84"/>
          <w:szCs w:val="24"/>
          <w:highlight w:val="none"/>
        </w:rPr>
      </w:pPr>
      <w:r>
        <w:rPr>
          <w:rFonts w:hint="eastAsia" w:ascii="宋体" w:hAnsi="宋体"/>
          <w:b/>
          <w:color w:val="000000"/>
          <w:sz w:val="84"/>
          <w:szCs w:val="24"/>
          <w:highlight w:val="none"/>
        </w:rPr>
        <w:t xml:space="preserve">招   标   文   件</w:t>
      </w:r>
      <w:r>
        <w:rPr>
          <w:rFonts w:ascii="宋体" w:hAnsi="宋体"/>
          <w:b/>
          <w:color w:val="000000"/>
          <w:sz w:val="84"/>
          <w:szCs w:val="24"/>
          <w:highlight w:val="none"/>
        </w:rPr>
      </w:r>
      <w:r/>
    </w:p>
    <w:p>
      <w:pPr>
        <w:pStyle w:val="1131"/>
        <w:jc w:val="center"/>
        <w:spacing w:line="360" w:lineRule="auto"/>
        <w:rPr>
          <w:rFonts w:ascii="宋体" w:hAnsi="宋体"/>
          <w:color w:val="000000"/>
          <w:sz w:val="32"/>
          <w:szCs w:val="24"/>
          <w:highlight w:val="none"/>
        </w:rPr>
      </w:pPr>
      <w:r>
        <w:rPr>
          <w:rFonts w:ascii="宋体" w:hAnsi="宋体"/>
          <w:color w:val="000000"/>
          <w:sz w:val="32"/>
          <w:szCs w:val="24"/>
          <w:highlight w:val="none"/>
        </w:rPr>
      </w:r>
      <w:r/>
    </w:p>
    <w:p>
      <w:pPr>
        <w:pStyle w:val="1131"/>
        <w:jc w:val="center"/>
        <w:spacing w:line="360" w:lineRule="auto"/>
        <w:rPr>
          <w:rFonts w:ascii="宋体" w:hAnsi="宋体"/>
          <w:color w:val="000000"/>
          <w:sz w:val="32"/>
          <w:szCs w:val="24"/>
          <w:highlight w:val="none"/>
        </w:rPr>
      </w:pPr>
      <w:r>
        <w:rPr>
          <w:rFonts w:ascii="宋体" w:hAnsi="宋体"/>
          <w:color w:val="000000"/>
          <w:sz w:val="32"/>
          <w:szCs w:val="24"/>
          <w:highlight w:val="none"/>
        </w:rPr>
      </w:r>
      <w:r/>
    </w:p>
    <w:p>
      <w:pPr>
        <w:pStyle w:val="1131"/>
        <w:jc w:val="center"/>
        <w:spacing w:line="360" w:lineRule="auto"/>
        <w:rPr>
          <w:rFonts w:ascii="宋体" w:hAnsi="宋体"/>
          <w:b/>
          <w:color w:val="000000"/>
          <w:sz w:val="36"/>
          <w:szCs w:val="24"/>
          <w:highlight w:val="none"/>
          <w:u w:val="single"/>
        </w:rPr>
      </w:pPr>
      <w:r>
        <w:rPr>
          <w:rFonts w:hint="eastAsia" w:ascii="宋体" w:hAnsi="宋体"/>
          <w:b/>
          <w:color w:val="000000"/>
          <w:sz w:val="36"/>
          <w:szCs w:val="24"/>
          <w:highlight w:val="none"/>
        </w:rPr>
        <w:t xml:space="preserve"> 项目编号：JSZC-321112-JSDZ-G2025-0225</w:t>
      </w:r>
      <w:r>
        <w:rPr>
          <w:rFonts w:ascii="宋体" w:hAnsi="宋体"/>
          <w:b/>
          <w:color w:val="000000"/>
          <w:sz w:val="36"/>
          <w:szCs w:val="24"/>
          <w:highlight w:val="none"/>
          <w:u w:val="single"/>
        </w:rPr>
      </w:r>
      <w:r/>
    </w:p>
    <w:p>
      <w:pPr>
        <w:pStyle w:val="1131"/>
        <w:spacing w:line="360" w:lineRule="auto"/>
        <w:rPr>
          <w:rFonts w:ascii="宋体" w:hAnsi="宋体"/>
          <w:color w:val="000000"/>
          <w:sz w:val="30"/>
          <w:szCs w:val="30"/>
          <w:highlight w:val="none"/>
        </w:rPr>
      </w:pPr>
      <w:r>
        <w:rPr>
          <w:rFonts w:ascii="宋体" w:hAnsi="宋体"/>
          <w:color w:val="000000"/>
          <w:sz w:val="30"/>
          <w:szCs w:val="30"/>
          <w:highlight w:val="none"/>
        </w:rPr>
      </w:r>
      <w:r/>
    </w:p>
    <w:p>
      <w:pPr>
        <w:pStyle w:val="1131"/>
        <w:spacing w:line="360" w:lineRule="auto"/>
        <w:rPr>
          <w:rFonts w:ascii="宋体" w:hAnsi="宋体"/>
          <w:color w:val="000000"/>
          <w:sz w:val="30"/>
          <w:szCs w:val="30"/>
          <w:highlight w:val="none"/>
        </w:rPr>
      </w:pPr>
      <w:r>
        <w:rPr>
          <w:rFonts w:ascii="宋体" w:hAnsi="宋体"/>
          <w:color w:val="000000"/>
          <w:sz w:val="30"/>
          <w:szCs w:val="30"/>
          <w:highlight w:val="none"/>
        </w:rPr>
      </w:r>
      <w:r/>
    </w:p>
    <w:p>
      <w:pPr>
        <w:pStyle w:val="1131"/>
        <w:spacing w:line="360" w:lineRule="auto"/>
        <w:rPr>
          <w:rFonts w:ascii="宋体" w:hAnsi="宋体"/>
          <w:color w:val="000000"/>
          <w:sz w:val="30"/>
          <w:szCs w:val="30"/>
          <w:highlight w:val="none"/>
        </w:rPr>
      </w:pPr>
      <w:r>
        <w:rPr>
          <w:rFonts w:ascii="宋体" w:hAnsi="宋体"/>
          <w:color w:val="000000"/>
          <w:sz w:val="30"/>
          <w:szCs w:val="30"/>
          <w:highlight w:val="none"/>
        </w:rPr>
      </w:r>
      <w:r/>
    </w:p>
    <w:p>
      <w:pPr>
        <w:pStyle w:val="1131"/>
        <w:spacing w:line="360" w:lineRule="auto"/>
        <w:rPr>
          <w:rFonts w:ascii="宋体" w:hAnsi="宋体"/>
          <w:color w:val="000000"/>
          <w:sz w:val="30"/>
          <w:szCs w:val="30"/>
          <w:highlight w:val="none"/>
        </w:rPr>
      </w:pPr>
      <w:r>
        <w:rPr>
          <w:rFonts w:ascii="宋体" w:hAnsi="宋体"/>
          <w:color w:val="000000"/>
          <w:sz w:val="30"/>
          <w:szCs w:val="30"/>
          <w:highlight w:val="none"/>
        </w:rPr>
      </w:r>
      <w:r/>
    </w:p>
    <w:p>
      <w:pPr>
        <w:pStyle w:val="1131"/>
        <w:jc w:val="center"/>
        <w:spacing w:line="360" w:lineRule="auto"/>
        <w:rPr>
          <w:rFonts w:ascii="宋体" w:hAnsi="宋体"/>
          <w:b/>
          <w:color w:val="000000"/>
          <w:sz w:val="36"/>
          <w:szCs w:val="24"/>
          <w:highlight w:val="none"/>
        </w:rPr>
      </w:pPr>
      <w:r>
        <w:rPr>
          <w:rFonts w:hint="eastAsia" w:ascii="宋体" w:hAnsi="宋体"/>
          <w:b/>
          <w:color w:val="000000"/>
          <w:sz w:val="36"/>
          <w:szCs w:val="24"/>
          <w:highlight w:val="none"/>
        </w:rPr>
        <w:t xml:space="preserve"> 项目名称：</w:t>
      </w:r>
      <w:r>
        <w:rPr>
          <w:rFonts w:hint="eastAsia" w:ascii="宋体" w:hAnsi="宋体"/>
          <w:b/>
          <w:color w:val="000000"/>
          <w:sz w:val="36"/>
          <w:szCs w:val="24"/>
          <w:highlight w:val="none"/>
        </w:rPr>
        <w:t xml:space="preserve">2025年镇江市丹徒区公路事业发展中心路网指挥中心改造项目</w:t>
      </w:r>
      <w:r>
        <w:rPr>
          <w:rFonts w:ascii="宋体" w:hAnsi="宋体"/>
          <w:b/>
          <w:color w:val="000000"/>
          <w:sz w:val="36"/>
          <w:szCs w:val="24"/>
          <w:highlight w:val="none"/>
        </w:rPr>
      </w:r>
      <w:r/>
    </w:p>
    <w:p>
      <w:pPr>
        <w:pStyle w:val="1131"/>
        <w:jc w:val="center"/>
        <w:spacing w:line="360" w:lineRule="auto"/>
        <w:rPr>
          <w:rFonts w:ascii="宋体" w:hAnsi="宋体"/>
          <w:b/>
          <w:color w:val="000000"/>
          <w:sz w:val="36"/>
          <w:szCs w:val="24"/>
          <w:highlight w:val="none"/>
        </w:rPr>
      </w:pPr>
      <w:r>
        <w:rPr>
          <w:rFonts w:ascii="宋体" w:hAnsi="宋体"/>
          <w:b/>
          <w:color w:val="000000"/>
          <w:sz w:val="36"/>
          <w:szCs w:val="24"/>
          <w:highlight w:val="none"/>
        </w:rPr>
      </w:r>
      <w:r/>
    </w:p>
    <w:p>
      <w:pPr>
        <w:pStyle w:val="1131"/>
        <w:jc w:val="center"/>
        <w:spacing w:line="360" w:lineRule="auto"/>
        <w:rPr>
          <w:rFonts w:ascii="宋体" w:hAnsi="宋体"/>
          <w:b/>
          <w:color w:val="000000"/>
          <w:sz w:val="36"/>
          <w:szCs w:val="24"/>
          <w:highlight w:val="none"/>
        </w:rPr>
      </w:pPr>
      <w:r>
        <w:rPr>
          <w:rFonts w:ascii="宋体" w:hAnsi="宋体"/>
          <w:b/>
          <w:color w:val="000000"/>
          <w:sz w:val="36"/>
          <w:szCs w:val="24"/>
          <w:highlight w:val="none"/>
        </w:rPr>
      </w:r>
      <w:r/>
    </w:p>
    <w:p>
      <w:pPr>
        <w:pStyle w:val="1131"/>
        <w:jc w:val="center"/>
        <w:spacing w:line="360" w:lineRule="auto"/>
        <w:rPr>
          <w:rFonts w:ascii="宋体" w:hAnsi="宋体"/>
          <w:b/>
          <w:color w:val="000000"/>
          <w:sz w:val="36"/>
          <w:szCs w:val="24"/>
          <w:highlight w:val="none"/>
        </w:rPr>
      </w:pPr>
      <w:r>
        <w:rPr>
          <w:rFonts w:ascii="宋体" w:hAnsi="宋体"/>
          <w:b/>
          <w:color w:val="000000"/>
          <w:sz w:val="36"/>
          <w:szCs w:val="24"/>
          <w:highlight w:val="none"/>
        </w:rPr>
      </w:r>
      <w:r/>
    </w:p>
    <w:p>
      <w:pPr>
        <w:pStyle w:val="1131"/>
        <w:jc w:val="center"/>
        <w:spacing w:line="360" w:lineRule="auto"/>
        <w:rPr>
          <w:rFonts w:ascii="宋体" w:hAnsi="宋体"/>
          <w:b/>
          <w:color w:val="000000"/>
          <w:sz w:val="36"/>
          <w:szCs w:val="24"/>
          <w:highlight w:val="none"/>
        </w:rPr>
      </w:pPr>
      <w:r>
        <w:rPr>
          <w:rFonts w:ascii="宋体" w:hAnsi="宋体"/>
          <w:b/>
          <w:color w:val="000000"/>
          <w:sz w:val="36"/>
          <w:szCs w:val="24"/>
          <w:highlight w:val="none"/>
        </w:rPr>
      </w:r>
      <w:r/>
    </w:p>
    <w:p>
      <w:pPr>
        <w:pStyle w:val="1131"/>
        <w:jc w:val="center"/>
        <w:spacing w:line="360" w:lineRule="auto"/>
        <w:rPr>
          <w:rFonts w:ascii="宋体" w:hAnsi="宋体"/>
          <w:b/>
          <w:color w:val="000000"/>
          <w:sz w:val="36"/>
          <w:szCs w:val="24"/>
          <w:highlight w:val="none"/>
        </w:rPr>
      </w:pPr>
      <w:r>
        <w:rPr>
          <w:rFonts w:ascii="宋体" w:hAnsi="宋体"/>
          <w:b/>
          <w:color w:val="000000"/>
          <w:sz w:val="36"/>
          <w:szCs w:val="24"/>
          <w:highlight w:val="none"/>
        </w:rPr>
      </w:r>
      <w:r/>
    </w:p>
    <w:p>
      <w:pPr>
        <w:pStyle w:val="1131"/>
        <w:jc w:val="center"/>
        <w:spacing w:line="360" w:lineRule="auto"/>
        <w:rPr>
          <w:rFonts w:ascii="宋体" w:hAnsi="宋体"/>
          <w:b/>
          <w:color w:val="000000"/>
          <w:sz w:val="36"/>
          <w:szCs w:val="24"/>
          <w:highlight w:val="none"/>
        </w:rPr>
      </w:pPr>
      <w:r>
        <w:rPr>
          <w:rFonts w:ascii="宋体" w:hAnsi="宋体"/>
          <w:b/>
          <w:color w:val="000000"/>
          <w:sz w:val="36"/>
          <w:szCs w:val="24"/>
          <w:highlight w:val="none"/>
        </w:rPr>
      </w:r>
      <w:r/>
    </w:p>
    <w:p>
      <w:pPr>
        <w:pStyle w:val="1131"/>
        <w:jc w:val="center"/>
        <w:spacing w:line="360" w:lineRule="auto"/>
        <w:rPr>
          <w:rFonts w:ascii="宋体" w:hAnsi="宋体"/>
          <w:b/>
          <w:color w:val="000000"/>
          <w:sz w:val="36"/>
          <w:szCs w:val="24"/>
          <w:highlight w:val="none"/>
        </w:rPr>
      </w:pPr>
      <w:r>
        <w:rPr>
          <w:rFonts w:ascii="宋体" w:hAnsi="宋体"/>
          <w:b/>
          <w:color w:val="000000"/>
          <w:sz w:val="36"/>
          <w:szCs w:val="24"/>
          <w:highlight w:val="none"/>
        </w:rPr>
      </w:r>
      <w:r/>
    </w:p>
    <w:p>
      <w:pPr>
        <w:pStyle w:val="1131"/>
        <w:ind w:firstLine="79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采购代理机构：大洲设计咨询集团有限公司</w:t>
      </w:r>
      <w:r>
        <w:rPr>
          <w:rFonts w:ascii="宋体" w:hAnsi="宋体"/>
          <w:b/>
          <w:color w:val="000000"/>
          <w:sz w:val="32"/>
          <w:szCs w:val="32"/>
          <w:highlight w:val="none"/>
        </w:rPr>
      </w:r>
      <w:r/>
    </w:p>
    <w:p>
      <w:pPr>
        <w:pStyle w:val="1131"/>
        <w:ind w:firstLine="94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发布日期：</w:t>
      </w:r>
      <w:bookmarkStart w:id="2" w:name="EB252194107af44342b5594fa335b6e403"/>
      <w:r>
        <w:rPr>
          <w:rFonts w:hint="eastAsia" w:ascii="宋体" w:hAnsi="宋体"/>
          <w:b/>
          <w:color w:val="000000"/>
          <w:sz w:val="32"/>
          <w:szCs w:val="32"/>
          <w:highlight w:val="none"/>
        </w:rPr>
        <w:t xml:space="preserve">2025年</w:t>
      </w:r>
      <w:r>
        <w:rPr>
          <w:rFonts w:hint="eastAsia" w:ascii="宋体" w:hAnsi="宋体"/>
          <w:b/>
          <w:color w:val="000000"/>
          <w:sz w:val="32"/>
          <w:szCs w:val="32"/>
          <w:highlight w:val="none"/>
          <w:lang w:val="en-US" w:eastAsia="zh-CN"/>
        </w:rPr>
        <w:t xml:space="preserve">1</w:t>
      </w:r>
      <w:r>
        <w:rPr>
          <w:rFonts w:hint="eastAsia" w:ascii="宋体" w:hAnsi="宋体"/>
          <w:b/>
          <w:color w:val="000000"/>
          <w:sz w:val="32"/>
          <w:szCs w:val="32"/>
          <w:highlight w:val="none"/>
          <w:lang w:val="en-US" w:eastAsia="zh-CN"/>
        </w:rPr>
        <w:t xml:space="preserve">1</w:t>
      </w:r>
      <w:r>
        <w:rPr>
          <w:rFonts w:hint="eastAsia" w:ascii="宋体" w:hAnsi="宋体"/>
          <w:b/>
          <w:color w:val="000000"/>
          <w:sz w:val="32"/>
          <w:szCs w:val="32"/>
          <w:highlight w:val="none"/>
        </w:rPr>
        <w:t xml:space="preserve">月</w:t>
      </w:r>
      <w:r>
        <w:rPr>
          <w:rFonts w:hint="eastAsia" w:ascii="宋体" w:hAnsi="宋体"/>
          <w:b/>
          <w:color w:val="000000"/>
          <w:sz w:val="32"/>
          <w:szCs w:val="32"/>
          <w:highlight w:val="none"/>
          <w:lang w:val="en-US" w:eastAsia="zh-CN"/>
        </w:rPr>
        <w:t xml:space="preserve">28</w:t>
      </w:r>
      <w:r>
        <w:rPr>
          <w:rFonts w:hint="eastAsia" w:ascii="宋体" w:hAnsi="宋体"/>
          <w:b/>
          <w:color w:val="000000"/>
          <w:sz w:val="32"/>
          <w:szCs w:val="32"/>
          <w:highlight w:val="none"/>
        </w:rPr>
        <w:t xml:space="preserve">日</w:t>
      </w:r>
      <w:bookmarkEnd w:id="2"/>
      <w:r>
        <w:rPr>
          <w:rFonts w:ascii="宋体" w:hAnsi="宋体"/>
          <w:b/>
          <w:color w:val="000000"/>
          <w:sz w:val="32"/>
          <w:szCs w:val="32"/>
          <w:highlight w:val="none"/>
        </w:rPr>
      </w:r>
      <w:r/>
    </w:p>
    <w:p>
      <w:pPr>
        <w:pStyle w:val="1131"/>
        <w:rPr>
          <w:color w:val="000000"/>
          <w:highlight w:val="none"/>
        </w:rPr>
      </w:pPr>
      <w:r/>
      <w:bookmarkStart w:id="3" w:name="EB9f548f3016de427ea72479cb33f7e593"/>
      <w:r/>
      <w:bookmarkEnd w:id="3"/>
      <w:r>
        <w:rPr>
          <w:color w:val="000000"/>
          <w:highlight w:val="none"/>
        </w:rPr>
      </w:r>
      <w:r/>
    </w:p>
    <w:p>
      <w:pPr>
        <w:pStyle w:val="1131"/>
        <w:ind w:firstLine="3048"/>
        <w:jc w:val="left"/>
        <w:spacing w:before="120" w:after="120" w:line="360" w:lineRule="auto"/>
        <w:rPr>
          <w:rFonts w:ascii="宋体" w:hAnsi="宋体"/>
          <w:b/>
          <w:bCs/>
          <w:caps/>
          <w:color w:val="000000"/>
          <w:sz w:val="44"/>
          <w:szCs w:val="44"/>
          <w:highlight w:val="none"/>
        </w:rPr>
        <w:sectPr>
          <w:footerReference w:type="default" r:id="rId20"/>
          <w:footerReference w:type="first" r:id="rId21"/>
          <w:footnotePr/>
          <w:endnotePr/>
          <w:type w:val="nextPage"/>
          <w:pgSz w:w="11905" w:h="16838" w:orient="portrait"/>
          <w:pgMar w:top="1134" w:right="1134" w:bottom="1134" w:left="1417" w:header="850" w:footer="850" w:gutter="0"/>
          <w:cols w:num="1" w:sep="0" w:space="1701" w:equalWidth="1"/>
          <w:docGrid w:linePitch="360"/>
        </w:sectPr>
      </w:pPr>
      <w:r>
        <w:rPr>
          <w:rFonts w:ascii="宋体" w:hAnsi="宋体"/>
          <w:b/>
          <w:bCs/>
          <w:caps/>
          <w:color w:val="000000"/>
          <w:sz w:val="44"/>
          <w:szCs w:val="44"/>
          <w:highlight w:val="none"/>
        </w:rPr>
      </w:r>
      <w:r/>
    </w:p>
    <w:p>
      <w:pPr>
        <w:pStyle w:val="1131"/>
        <w:ind w:firstLine="3048"/>
        <w:jc w:val="left"/>
        <w:spacing w:before="120" w:after="120" w:line="360" w:lineRule="auto"/>
        <w:rPr>
          <w:rFonts w:ascii="宋体" w:hAnsi="宋体"/>
          <w:b/>
          <w:bCs/>
          <w:caps/>
          <w:color w:val="000000"/>
          <w:sz w:val="44"/>
          <w:szCs w:val="44"/>
          <w:highlight w:val="none"/>
        </w:rPr>
      </w:pPr>
      <w:r>
        <w:rPr>
          <w:rFonts w:ascii="宋体" w:hAnsi="宋体"/>
          <w:b/>
          <w:bCs/>
          <w:caps/>
          <w:color w:val="000000"/>
          <w:sz w:val="44"/>
          <w:szCs w:val="44"/>
          <w:highlight w:val="none"/>
        </w:rPr>
      </w:r>
      <w:r/>
    </w:p>
    <w:p>
      <w:pPr>
        <w:pStyle w:val="1131"/>
        <w:ind w:firstLine="3048"/>
        <w:jc w:val="left"/>
        <w:spacing w:before="120" w:after="120" w:line="360" w:lineRule="auto"/>
        <w:rPr>
          <w:rFonts w:ascii="宋体" w:hAnsi="宋体"/>
          <w:b/>
          <w:bCs/>
          <w:caps/>
          <w:color w:val="000000"/>
          <w:sz w:val="44"/>
          <w:szCs w:val="44"/>
          <w:highlight w:val="none"/>
        </w:rPr>
      </w:pPr>
      <w:r>
        <w:rPr>
          <w:rFonts w:hint="eastAsia" w:ascii="宋体" w:hAnsi="宋体"/>
          <w:b/>
          <w:bCs/>
          <w:caps/>
          <w:color w:val="000000"/>
          <w:sz w:val="44"/>
          <w:szCs w:val="44"/>
          <w:highlight w:val="none"/>
        </w:rPr>
        <w:t xml:space="preserve">招标文件目录</w:t>
      </w:r>
      <w:r>
        <w:rPr>
          <w:rFonts w:ascii="宋体" w:hAnsi="宋体"/>
          <w:b/>
          <w:bCs/>
          <w:caps/>
          <w:color w:val="000000"/>
          <w:sz w:val="44"/>
          <w:szCs w:val="44"/>
          <w:highlight w:val="none"/>
        </w:rPr>
      </w:r>
      <w:r/>
    </w:p>
    <w:p>
      <w:pPr>
        <w:pStyle w:val="1131"/>
        <w:spacing w:line="360" w:lineRule="auto"/>
        <w:rPr>
          <w:rFonts w:ascii="宋体" w:hAnsi="宋体"/>
          <w:iCs/>
          <w:color w:val="000000"/>
          <w:szCs w:val="24"/>
          <w:highlight w:val="none"/>
        </w:rPr>
      </w:pPr>
      <w:r>
        <w:rPr>
          <w:rFonts w:ascii="宋体" w:hAnsi="宋体"/>
          <w:iCs/>
          <w:color w:val="000000"/>
          <w:szCs w:val="24"/>
          <w:highlight w:val="none"/>
        </w:rPr>
      </w:r>
      <w:r/>
    </w:p>
    <w:p>
      <w:pPr>
        <w:pStyle w:val="1665"/>
        <w:rPr>
          <w:rFonts w:ascii="宋体" w:hAnsi="宋体"/>
          <w:color w:val="000000"/>
          <w:highlight w:val="none"/>
        </w:rPr>
      </w:pPr>
      <w:r>
        <w:rPr>
          <w:rFonts w:ascii="宋体" w:hAnsi="宋体"/>
          <w:color w:val="000000"/>
          <w:highlight w:val="none"/>
        </w:rPr>
      </w:r>
      <w:r/>
    </w:p>
    <w:p>
      <w:pPr>
        <w:pStyle w:val="1414"/>
        <w:spacing w:line="360" w:lineRule="auto"/>
        <w:tabs>
          <w:tab w:val="right" w:pos="8306" w:leader="dot"/>
        </w:tabs>
        <w:rPr>
          <w:color w:val="000000"/>
          <w:sz w:val="24"/>
          <w:szCs w:val="24"/>
          <w:highlight w:val="none"/>
        </w:rPr>
      </w:pPr>
      <w:r>
        <w:rPr>
          <w:rFonts w:ascii="宋体" w:hAnsi="宋体"/>
          <w:b w:val="0"/>
          <w:bCs w:val="0"/>
          <w:caps w:val="0"/>
          <w:color w:val="000000"/>
          <w:sz w:val="21"/>
          <w:szCs w:val="22"/>
          <w:highlight w:val="none"/>
        </w:rPr>
        <w:fldChar w:fldCharType="begin"/>
      </w:r>
      <w:r>
        <w:rPr>
          <w:rFonts w:ascii="宋体" w:hAnsi="宋体"/>
          <w:b w:val="0"/>
          <w:bCs w:val="0"/>
          <w:caps w:val="0"/>
          <w:color w:val="000000"/>
          <w:sz w:val="21"/>
          <w:szCs w:val="22"/>
          <w:highlight w:val="none"/>
        </w:rPr>
        <w:instrText xml:space="preserve"> TOC \h \z \u \t "标题 1,1,标题 2,2,标题 3,3"</w:instrText>
      </w:r>
      <w:r>
        <w:rPr>
          <w:rFonts w:ascii="宋体" w:hAnsi="宋体"/>
          <w:b w:val="0"/>
          <w:bCs w:val="0"/>
          <w:caps w:val="0"/>
          <w:color w:val="000000"/>
          <w:sz w:val="21"/>
          <w:szCs w:val="22"/>
          <w:highlight w:val="none"/>
        </w:rPr>
        <w:fldChar w:fldCharType="separate"/>
      </w:r>
      <w:r>
        <w:rPr>
          <w:rFonts w:ascii="宋体" w:hAnsi="宋体"/>
          <w:bCs w:val="0"/>
          <w:caps w:val="0"/>
          <w:color w:val="000000"/>
          <w:sz w:val="24"/>
          <w:szCs w:val="24"/>
          <w:highlight w:val="none"/>
        </w:rPr>
        <w:fldChar w:fldCharType="begin"/>
      </w:r>
      <w:r>
        <w:rPr>
          <w:rFonts w:ascii="宋体" w:hAnsi="宋体"/>
          <w:bCs w:val="0"/>
          <w:caps w:val="0"/>
          <w:color w:val="000000"/>
          <w:sz w:val="24"/>
          <w:szCs w:val="24"/>
          <w:highlight w:val="none"/>
        </w:rPr>
        <w:instrText xml:space="preserve"> HYPERLINK \l _Toc22205 </w:instrText>
      </w:r>
      <w:r>
        <w:rPr>
          <w:rFonts w:ascii="宋体" w:hAnsi="宋体"/>
          <w:bCs w:val="0"/>
          <w:caps w:val="0"/>
          <w:color w:val="000000"/>
          <w:sz w:val="24"/>
          <w:szCs w:val="24"/>
          <w:highlight w:val="none"/>
        </w:rPr>
        <w:fldChar w:fldCharType="separate"/>
      </w:r>
      <w:r>
        <w:rPr>
          <w:rFonts w:hint="eastAsia" w:ascii="宋体" w:hAnsi="宋体" w:cs="宋体"/>
          <w:color w:val="000000"/>
          <w:sz w:val="24"/>
          <w:szCs w:val="24"/>
          <w:highlight w:val="none"/>
        </w:rPr>
        <w:t xml:space="preserve">第一部分  投标邀请</w:t>
      </w:r>
      <w:r>
        <w:rPr>
          <w:color w:val="000000"/>
          <w:sz w:val="24"/>
          <w:szCs w:val="24"/>
          <w:highlight w:val="none"/>
        </w:rPr>
        <w:tab/>
      </w:r>
      <w:r>
        <w:rPr>
          <w:rFonts w:hint="eastAsia"/>
          <w:color w:val="000000"/>
          <w:sz w:val="24"/>
          <w:szCs w:val="24"/>
          <w:highlight w:val="none"/>
        </w:rPr>
        <w:t xml:space="preserve">1</w:t>
      </w:r>
      <w:r>
        <w:rPr>
          <w:rFonts w:ascii="宋体" w:hAnsi="宋体"/>
          <w:bCs w:val="0"/>
          <w:caps w:val="0"/>
          <w:color w:val="000000"/>
          <w:sz w:val="24"/>
          <w:szCs w:val="24"/>
          <w:highlight w:val="none"/>
        </w:rPr>
        <w:fldChar w:fldCharType="end"/>
      </w:r>
      <w:r>
        <w:rPr>
          <w:color w:val="000000"/>
          <w:sz w:val="24"/>
          <w:szCs w:val="24"/>
          <w:highlight w:val="none"/>
        </w:rPr>
      </w:r>
      <w:r/>
    </w:p>
    <w:p>
      <w:pPr>
        <w:pStyle w:val="1414"/>
        <w:spacing w:line="360" w:lineRule="auto"/>
        <w:tabs>
          <w:tab w:val="right" w:pos="8306" w:leader="dot"/>
        </w:tabs>
        <w:rPr>
          <w:color w:val="000000"/>
          <w:sz w:val="24"/>
          <w:szCs w:val="24"/>
          <w:highlight w:val="none"/>
        </w:rPr>
      </w:pPr>
      <w:r>
        <w:rPr>
          <w:rFonts w:ascii="宋体" w:hAnsi="宋体"/>
          <w:bCs w:val="0"/>
          <w:caps w:val="0"/>
          <w:color w:val="000000"/>
          <w:sz w:val="24"/>
          <w:szCs w:val="24"/>
          <w:highlight w:val="none"/>
        </w:rPr>
        <w:fldChar w:fldCharType="begin"/>
      </w:r>
      <w:r>
        <w:rPr>
          <w:rFonts w:ascii="宋体" w:hAnsi="宋体"/>
          <w:bCs w:val="0"/>
          <w:caps w:val="0"/>
          <w:color w:val="000000"/>
          <w:sz w:val="24"/>
          <w:szCs w:val="24"/>
          <w:highlight w:val="none"/>
        </w:rPr>
        <w:instrText xml:space="preserve"> HYPERLINK \l _Toc26732 </w:instrText>
      </w:r>
      <w:r>
        <w:rPr>
          <w:rFonts w:ascii="宋体" w:hAnsi="宋体"/>
          <w:bCs w:val="0"/>
          <w:caps w:val="0"/>
          <w:color w:val="000000"/>
          <w:sz w:val="24"/>
          <w:szCs w:val="24"/>
          <w:highlight w:val="none"/>
        </w:rPr>
        <w:fldChar w:fldCharType="separate"/>
      </w:r>
      <w:r>
        <w:rPr>
          <w:rFonts w:hint="eastAsia" w:ascii="宋体" w:hAnsi="宋体" w:cs="宋体"/>
          <w:color w:val="000000"/>
          <w:sz w:val="24"/>
          <w:szCs w:val="24"/>
          <w:highlight w:val="none"/>
        </w:rPr>
        <w:t xml:space="preserve">第二部分  投标须知</w:t>
      </w:r>
      <w:r>
        <w:rPr>
          <w:color w:val="000000"/>
          <w:sz w:val="24"/>
          <w:szCs w:val="24"/>
          <w:highlight w:val="none"/>
        </w:rPr>
        <w:tab/>
      </w:r>
      <w:r>
        <w:rPr>
          <w:rFonts w:hint="eastAsia"/>
          <w:color w:val="000000"/>
          <w:sz w:val="24"/>
          <w:szCs w:val="24"/>
          <w:highlight w:val="none"/>
        </w:rPr>
        <w:t xml:space="preserve">5</w:t>
      </w:r>
      <w:r>
        <w:rPr>
          <w:rFonts w:ascii="宋体" w:hAnsi="宋体"/>
          <w:bCs w:val="0"/>
          <w:caps w:val="0"/>
          <w:color w:val="000000"/>
          <w:sz w:val="24"/>
          <w:szCs w:val="24"/>
          <w:highlight w:val="none"/>
        </w:rPr>
        <w:fldChar w:fldCharType="end"/>
      </w:r>
      <w:r>
        <w:rPr>
          <w:color w:val="000000"/>
          <w:sz w:val="24"/>
          <w:szCs w:val="24"/>
          <w:highlight w:val="none"/>
        </w:rPr>
      </w:r>
      <w:r/>
    </w:p>
    <w:p>
      <w:pPr>
        <w:pStyle w:val="1414"/>
        <w:spacing w:line="360" w:lineRule="auto"/>
        <w:tabs>
          <w:tab w:val="right" w:pos="8306" w:leader="dot"/>
        </w:tabs>
        <w:rPr>
          <w:rFonts w:hint="eastAsia"/>
          <w:color w:val="000000"/>
          <w:sz w:val="24"/>
          <w:szCs w:val="24"/>
          <w:highlight w:val="none"/>
        </w:rPr>
      </w:pPr>
      <w:r>
        <w:rPr>
          <w:rFonts w:hint="eastAsia" w:ascii="宋体" w:hAnsi="宋体" w:cs="宋体"/>
          <w:bCs w:val="0"/>
          <w:caps w:val="0"/>
          <w:color w:val="000000"/>
          <w:sz w:val="24"/>
          <w:szCs w:val="24"/>
          <w:highlight w:val="none"/>
        </w:rPr>
        <w:fldChar w:fldCharType="begin"/>
      </w:r>
      <w:r>
        <w:rPr>
          <w:rFonts w:hint="eastAsia" w:ascii="宋体" w:hAnsi="宋体" w:cs="宋体"/>
          <w:bCs w:val="0"/>
          <w:caps w:val="0"/>
          <w:color w:val="000000"/>
          <w:sz w:val="24"/>
          <w:szCs w:val="24"/>
          <w:highlight w:val="none"/>
        </w:rPr>
        <w:instrText xml:space="preserve"> HYPERLINK \l _Toc1165 </w:instrText>
      </w:r>
      <w:r>
        <w:rPr>
          <w:rFonts w:hint="eastAsia" w:ascii="宋体" w:hAnsi="宋体" w:cs="宋体"/>
          <w:bCs w:val="0"/>
          <w:caps w:val="0"/>
          <w:color w:val="000000"/>
          <w:sz w:val="24"/>
          <w:szCs w:val="24"/>
          <w:highlight w:val="none"/>
        </w:rPr>
        <w:fldChar w:fldCharType="separate"/>
      </w:r>
      <w:r>
        <w:rPr>
          <w:rFonts w:hint="eastAsia" w:ascii="宋体" w:hAnsi="宋体" w:cs="宋体"/>
          <w:color w:val="000000"/>
          <w:sz w:val="24"/>
          <w:szCs w:val="24"/>
          <w:highlight w:val="none"/>
        </w:rPr>
        <w:t xml:space="preserve">第三部分  合同</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1</w:t>
      </w:r>
      <w:r>
        <w:rPr>
          <w:rFonts w:hint="eastAsia" w:ascii="宋体" w:hAnsi="宋体" w:cs="宋体"/>
          <w:bCs w:val="0"/>
          <w:caps w:val="0"/>
          <w:color w:val="000000"/>
          <w:sz w:val="24"/>
          <w:szCs w:val="24"/>
          <w:highlight w:val="none"/>
        </w:rPr>
        <w:fldChar w:fldCharType="end"/>
      </w:r>
      <w:r>
        <w:rPr>
          <w:rFonts w:hint="eastAsia" w:ascii="宋体" w:hAnsi="宋体" w:cs="宋体"/>
          <w:bCs w:val="0"/>
          <w:caps w:val="0"/>
          <w:color w:val="000000"/>
          <w:sz w:val="24"/>
          <w:szCs w:val="24"/>
          <w:highlight w:val="none"/>
        </w:rPr>
        <w:t xml:space="preserve">5</w:t>
      </w:r>
      <w:r>
        <w:rPr>
          <w:rFonts w:hint="eastAsia"/>
          <w:color w:val="000000"/>
          <w:sz w:val="24"/>
          <w:szCs w:val="24"/>
          <w:highlight w:val="none"/>
        </w:rPr>
      </w:r>
      <w:r/>
    </w:p>
    <w:p>
      <w:pPr>
        <w:pStyle w:val="1414"/>
        <w:spacing w:line="360" w:lineRule="auto"/>
        <w:tabs>
          <w:tab w:val="right" w:pos="8306" w:leader="dot"/>
        </w:tabs>
        <w:rPr>
          <w:rFonts w:hint="eastAsia"/>
          <w:color w:val="000000"/>
          <w:sz w:val="24"/>
          <w:szCs w:val="24"/>
          <w:highlight w:val="none"/>
        </w:rPr>
      </w:pPr>
      <w:r>
        <w:rPr>
          <w:rFonts w:ascii="宋体" w:hAnsi="宋体"/>
          <w:bCs w:val="0"/>
          <w:caps w:val="0"/>
          <w:color w:val="000000"/>
          <w:sz w:val="24"/>
          <w:szCs w:val="24"/>
          <w:highlight w:val="none"/>
        </w:rPr>
        <w:fldChar w:fldCharType="begin"/>
      </w:r>
      <w:r>
        <w:rPr>
          <w:rFonts w:ascii="宋体" w:hAnsi="宋体"/>
          <w:bCs w:val="0"/>
          <w:caps w:val="0"/>
          <w:color w:val="000000"/>
          <w:sz w:val="24"/>
          <w:szCs w:val="24"/>
          <w:highlight w:val="none"/>
        </w:rPr>
        <w:instrText xml:space="preserve"> HYPERLINK \l _Toc11655 </w:instrText>
      </w:r>
      <w:r>
        <w:rPr>
          <w:rFonts w:ascii="宋体" w:hAnsi="宋体"/>
          <w:bCs w:val="0"/>
          <w:caps w:val="0"/>
          <w:color w:val="000000"/>
          <w:sz w:val="24"/>
          <w:szCs w:val="24"/>
          <w:highlight w:val="none"/>
        </w:rPr>
        <w:fldChar w:fldCharType="separate"/>
      </w:r>
      <w:r>
        <w:rPr>
          <w:rFonts w:hint="eastAsia" w:ascii="宋体" w:hAnsi="宋体" w:cs="宋体"/>
          <w:color w:val="000000"/>
          <w:sz w:val="24"/>
          <w:szCs w:val="24"/>
          <w:highlight w:val="none"/>
        </w:rPr>
        <w:t xml:space="preserve">第四部分  采购需求</w:t>
      </w:r>
      <w:r>
        <w:rPr>
          <w:color w:val="000000"/>
          <w:sz w:val="24"/>
          <w:szCs w:val="24"/>
          <w:highlight w:val="none"/>
        </w:rPr>
        <w:tab/>
      </w:r>
      <w:r>
        <w:rPr>
          <w:rFonts w:hint="eastAsia"/>
          <w:color w:val="000000"/>
          <w:sz w:val="24"/>
          <w:szCs w:val="24"/>
          <w:highlight w:val="none"/>
        </w:rPr>
        <w:t xml:space="preserve">3</w:t>
      </w:r>
      <w:r>
        <w:rPr>
          <w:rFonts w:ascii="宋体" w:hAnsi="宋体"/>
          <w:bCs w:val="0"/>
          <w:caps w:val="0"/>
          <w:color w:val="000000"/>
          <w:sz w:val="24"/>
          <w:szCs w:val="24"/>
          <w:highlight w:val="none"/>
        </w:rPr>
        <w:fldChar w:fldCharType="end"/>
      </w:r>
      <w:r>
        <w:rPr>
          <w:rFonts w:hint="eastAsia" w:ascii="宋体" w:hAnsi="宋体"/>
          <w:bCs w:val="0"/>
          <w:caps w:val="0"/>
          <w:color w:val="000000"/>
          <w:sz w:val="24"/>
          <w:szCs w:val="24"/>
          <w:highlight w:val="none"/>
        </w:rPr>
        <w:t xml:space="preserve">1</w:t>
      </w:r>
      <w:r>
        <w:rPr>
          <w:rFonts w:hint="eastAsia"/>
          <w:color w:val="000000"/>
          <w:sz w:val="24"/>
          <w:szCs w:val="24"/>
          <w:highlight w:val="none"/>
        </w:rPr>
      </w:r>
      <w:r/>
    </w:p>
    <w:p>
      <w:pPr>
        <w:pStyle w:val="1414"/>
        <w:spacing w:line="360" w:lineRule="auto"/>
        <w:tabs>
          <w:tab w:val="right" w:pos="8306" w:leader="dot"/>
        </w:tabs>
        <w:rPr>
          <w:rFonts w:hint="eastAsia"/>
          <w:color w:val="000000"/>
          <w:sz w:val="24"/>
          <w:szCs w:val="24"/>
          <w:highlight w:val="none"/>
        </w:rPr>
      </w:pPr>
      <w:r>
        <w:rPr>
          <w:rFonts w:ascii="宋体" w:hAnsi="宋体"/>
          <w:bCs w:val="0"/>
          <w:caps w:val="0"/>
          <w:color w:val="000000"/>
          <w:sz w:val="24"/>
          <w:szCs w:val="24"/>
          <w:highlight w:val="none"/>
        </w:rPr>
        <w:fldChar w:fldCharType="begin"/>
      </w:r>
      <w:r>
        <w:rPr>
          <w:rFonts w:ascii="宋体" w:hAnsi="宋体"/>
          <w:bCs w:val="0"/>
          <w:caps w:val="0"/>
          <w:color w:val="000000"/>
          <w:sz w:val="24"/>
          <w:szCs w:val="24"/>
          <w:highlight w:val="none"/>
        </w:rPr>
        <w:instrText xml:space="preserve"> HYPERLINK \l _Toc32658 </w:instrText>
      </w:r>
      <w:r>
        <w:rPr>
          <w:rFonts w:ascii="宋体" w:hAnsi="宋体"/>
          <w:bCs w:val="0"/>
          <w:caps w:val="0"/>
          <w:color w:val="000000"/>
          <w:sz w:val="24"/>
          <w:szCs w:val="24"/>
          <w:highlight w:val="none"/>
        </w:rPr>
        <w:fldChar w:fldCharType="separate"/>
      </w:r>
      <w:r>
        <w:rPr>
          <w:rFonts w:hint="eastAsia" w:ascii="宋体" w:hAnsi="宋体"/>
          <w:color w:val="000000"/>
          <w:sz w:val="24"/>
          <w:szCs w:val="24"/>
          <w:highlight w:val="none"/>
        </w:rPr>
        <w:t xml:space="preserve">第五部分  评标办法和标准</w:t>
      </w:r>
      <w:r>
        <w:rPr>
          <w:color w:val="000000"/>
          <w:sz w:val="24"/>
          <w:szCs w:val="24"/>
          <w:highlight w:val="none"/>
        </w:rPr>
        <w:tab/>
      </w:r>
      <w:r>
        <w:rPr>
          <w:rFonts w:hint="eastAsia"/>
          <w:color w:val="000000"/>
          <w:sz w:val="24"/>
          <w:szCs w:val="24"/>
          <w:highlight w:val="none"/>
        </w:rPr>
        <w:t xml:space="preserve">5</w:t>
      </w:r>
      <w:r>
        <w:rPr>
          <w:rFonts w:ascii="宋体" w:hAnsi="宋体"/>
          <w:bCs w:val="0"/>
          <w:caps w:val="0"/>
          <w:color w:val="000000"/>
          <w:sz w:val="24"/>
          <w:szCs w:val="24"/>
          <w:highlight w:val="none"/>
        </w:rPr>
        <w:fldChar w:fldCharType="end"/>
      </w:r>
      <w:r>
        <w:rPr>
          <w:rFonts w:hint="eastAsia" w:ascii="宋体" w:hAnsi="宋体"/>
          <w:bCs w:val="0"/>
          <w:caps w:val="0"/>
          <w:color w:val="000000"/>
          <w:sz w:val="24"/>
          <w:szCs w:val="24"/>
          <w:highlight w:val="none"/>
        </w:rPr>
        <w:t xml:space="preserve">2</w:t>
      </w:r>
      <w:r>
        <w:rPr>
          <w:rFonts w:hint="eastAsia"/>
          <w:color w:val="000000"/>
          <w:sz w:val="24"/>
          <w:szCs w:val="24"/>
          <w:highlight w:val="none"/>
        </w:rPr>
      </w:r>
      <w:r/>
    </w:p>
    <w:p>
      <w:pPr>
        <w:pStyle w:val="1414"/>
        <w:spacing w:line="360" w:lineRule="auto"/>
        <w:tabs>
          <w:tab w:val="right" w:pos="8306" w:leader="dot"/>
        </w:tabs>
        <w:rPr>
          <w:rFonts w:hint="eastAsia"/>
          <w:color w:val="000000"/>
          <w:highlight w:val="none"/>
        </w:rPr>
      </w:pPr>
      <w:r>
        <w:rPr>
          <w:rFonts w:ascii="宋体" w:hAnsi="宋体"/>
          <w:bCs w:val="0"/>
          <w:caps w:val="0"/>
          <w:color w:val="000000"/>
          <w:sz w:val="24"/>
          <w:szCs w:val="24"/>
          <w:highlight w:val="none"/>
        </w:rPr>
        <w:fldChar w:fldCharType="begin"/>
      </w:r>
      <w:r>
        <w:rPr>
          <w:rFonts w:ascii="宋体" w:hAnsi="宋体"/>
          <w:bCs w:val="0"/>
          <w:caps w:val="0"/>
          <w:color w:val="000000"/>
          <w:sz w:val="24"/>
          <w:szCs w:val="24"/>
          <w:highlight w:val="none"/>
        </w:rPr>
        <w:instrText xml:space="preserve"> HYPERLINK \l _Toc9952 </w:instrText>
      </w:r>
      <w:r>
        <w:rPr>
          <w:rFonts w:ascii="宋体" w:hAnsi="宋体"/>
          <w:bCs w:val="0"/>
          <w:caps w:val="0"/>
          <w:color w:val="000000"/>
          <w:sz w:val="24"/>
          <w:szCs w:val="24"/>
          <w:highlight w:val="none"/>
        </w:rPr>
        <w:fldChar w:fldCharType="separate"/>
      </w:r>
      <w:r>
        <w:rPr>
          <w:rFonts w:hint="eastAsia" w:ascii="宋体" w:hAnsi="宋体" w:cs="宋体"/>
          <w:color w:val="000000"/>
          <w:sz w:val="24"/>
          <w:szCs w:val="24"/>
          <w:highlight w:val="none"/>
        </w:rPr>
        <w:t xml:space="preserve">第六部分  投标文件格式</w:t>
      </w:r>
      <w:r>
        <w:rPr>
          <w:color w:val="000000"/>
          <w:sz w:val="24"/>
          <w:szCs w:val="24"/>
          <w:highlight w:val="none"/>
        </w:rPr>
        <w:tab/>
      </w:r>
      <w:r>
        <w:rPr>
          <w:rFonts w:hint="eastAsia"/>
          <w:color w:val="000000"/>
          <w:sz w:val="24"/>
          <w:szCs w:val="24"/>
          <w:highlight w:val="none"/>
        </w:rPr>
        <w:t xml:space="preserve">6</w:t>
      </w:r>
      <w:r>
        <w:rPr>
          <w:rFonts w:ascii="宋体" w:hAnsi="宋体"/>
          <w:bCs w:val="0"/>
          <w:caps w:val="0"/>
          <w:color w:val="000000"/>
          <w:sz w:val="24"/>
          <w:szCs w:val="24"/>
          <w:highlight w:val="none"/>
        </w:rPr>
        <w:fldChar w:fldCharType="end"/>
      </w:r>
      <w:r>
        <w:rPr>
          <w:rFonts w:hint="eastAsia" w:ascii="宋体" w:hAnsi="宋体"/>
          <w:bCs w:val="0"/>
          <w:caps w:val="0"/>
          <w:color w:val="000000"/>
          <w:sz w:val="24"/>
          <w:szCs w:val="24"/>
          <w:highlight w:val="none"/>
        </w:rPr>
        <w:t xml:space="preserve">1</w:t>
      </w:r>
      <w:r>
        <w:rPr>
          <w:rFonts w:hint="eastAsia"/>
          <w:color w:val="000000"/>
          <w:highlight w:val="none"/>
        </w:rPr>
      </w:r>
      <w:r/>
    </w:p>
    <w:p>
      <w:pPr>
        <w:pStyle w:val="1392"/>
        <w:tabs>
          <w:tab w:val="right" w:pos="8306" w:leader="dot"/>
        </w:tabs>
        <w:rPr>
          <w:color w:val="000000"/>
          <w:highlight w:val="none"/>
        </w:rPr>
      </w:pPr>
      <w:r>
        <w:rPr>
          <w:color w:val="000000"/>
          <w:highlight w:val="none"/>
        </w:rPr>
      </w:r>
      <w:r/>
    </w:p>
    <w:p>
      <w:pPr>
        <w:pStyle w:val="1414"/>
        <w:tabs>
          <w:tab w:val="right" w:pos="8296" w:leader="dot"/>
        </w:tabs>
        <w:rPr>
          <w:rFonts w:ascii="宋体" w:hAnsi="宋体"/>
          <w:b w:val="0"/>
          <w:bCs w:val="0"/>
          <w:caps w:val="0"/>
          <w:color w:val="000000"/>
          <w:sz w:val="21"/>
          <w:szCs w:val="22"/>
          <w:highlight w:val="none"/>
        </w:rPr>
      </w:pPr>
      <w:r>
        <w:rPr>
          <w:rFonts w:ascii="宋体" w:hAnsi="宋体"/>
          <w:bCs w:val="0"/>
          <w:caps w:val="0"/>
          <w:color w:val="000000"/>
          <w:szCs w:val="22"/>
          <w:highlight w:val="none"/>
        </w:rPr>
        <w:fldChar w:fldCharType="end"/>
      </w:r>
      <w:r>
        <w:rPr>
          <w:rFonts w:ascii="宋体" w:hAnsi="宋体"/>
          <w:b w:val="0"/>
          <w:bCs w:val="0"/>
          <w:caps w:val="0"/>
          <w:color w:val="000000"/>
          <w:sz w:val="21"/>
          <w:szCs w:val="22"/>
          <w:highlight w:val="none"/>
        </w:rPr>
      </w:r>
      <w:r/>
    </w:p>
    <w:p>
      <w:pPr>
        <w:pStyle w:val="1131"/>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1131"/>
        <w:spacing w:line="360" w:lineRule="auto"/>
        <w:rPr>
          <w:rFonts w:ascii="宋体" w:hAnsi="宋体"/>
          <w:b/>
          <w:color w:val="000000"/>
          <w:sz w:val="32"/>
          <w:szCs w:val="32"/>
          <w:highlight w:val="none"/>
        </w:rPr>
        <w:sectPr>
          <w:footerReference w:type="default" r:id="rId22"/>
          <w:footerReference w:type="first" r:id="rId23"/>
          <w:footnotePr/>
          <w:endnotePr/>
          <w:type w:val="nextPage"/>
          <w:pgSz w:w="11905" w:h="16838" w:orient="portrait"/>
          <w:pgMar w:top="1134" w:right="1134" w:bottom="1134" w:left="1417" w:header="850" w:footer="850" w:gutter="0"/>
          <w:pgNumType w:start="1"/>
          <w:cols w:num="1" w:sep="0" w:space="1701" w:equalWidth="1"/>
          <w:docGrid w:linePitch="360"/>
        </w:sectPr>
      </w:pPr>
      <w:r/>
      <w:bookmarkStart w:id="4" w:name="_GoBack"/>
      <w:r/>
      <w:bookmarkEnd w:id="4"/>
      <w:r>
        <w:rPr>
          <w:rFonts w:ascii="宋体" w:hAnsi="宋体"/>
          <w:b/>
          <w:color w:val="000000"/>
          <w:sz w:val="32"/>
          <w:szCs w:val="32"/>
          <w:highlight w:val="none"/>
        </w:rPr>
      </w:r>
      <w:r/>
    </w:p>
    <w:p>
      <w:pPr>
        <w:pStyle w:val="1331"/>
        <w:jc w:val="center"/>
        <w:rPr>
          <w:rFonts w:ascii="宋体" w:hAnsi="宋体" w:eastAsia="宋体"/>
          <w:b/>
          <w:color w:val="000000"/>
          <w:szCs w:val="36"/>
          <w:highlight w:val="none"/>
        </w:rPr>
      </w:pPr>
      <w:r/>
      <w:bookmarkStart w:id="5" w:name="_Toc77255442"/>
      <w:r/>
      <w:bookmarkStart w:id="6" w:name="_Toc22205"/>
      <w:r/>
      <w:bookmarkStart w:id="7" w:name="_Toc77255553"/>
      <w:r>
        <w:rPr>
          <w:rFonts w:hint="eastAsia" w:ascii="宋体" w:hAnsi="宋体" w:eastAsia="宋体" w:cs="宋体"/>
          <w:b/>
          <w:bCs/>
          <w:color w:val="000000"/>
          <w:sz w:val="36"/>
          <w:szCs w:val="36"/>
          <w:highlight w:val="none"/>
        </w:rPr>
        <w:t xml:space="preserve">第一部分  </w:t>
      </w:r>
      <w:bookmarkEnd w:id="5"/>
      <w:r/>
      <w:bookmarkEnd w:id="6"/>
      <w:r/>
      <w:bookmarkEnd w:id="7"/>
      <w:r>
        <w:rPr>
          <w:rFonts w:hint="eastAsia" w:ascii="宋体" w:hAnsi="宋体" w:eastAsia="宋体" w:cs="宋体"/>
          <w:b/>
          <w:bCs/>
          <w:color w:val="000000"/>
          <w:sz w:val="36"/>
          <w:szCs w:val="36"/>
          <w:highlight w:val="none"/>
        </w:rPr>
        <w:t xml:space="preserve">投标邀请</w:t>
      </w:r>
      <w:r>
        <w:rPr>
          <w:rFonts w:ascii="宋体" w:hAnsi="宋体" w:eastAsia="宋体"/>
          <w:b/>
          <w:color w:val="000000"/>
          <w:szCs w:val="36"/>
          <w:highlight w:val="none"/>
        </w:rPr>
      </w:r>
      <w:r/>
    </w:p>
    <w:p>
      <w:pPr>
        <w:pStyle w:val="1131"/>
        <w:ind w:firstLine="400"/>
        <w:jc w:val="left"/>
        <w:spacing w:line="440" w:lineRule="exact"/>
        <w:widowControl/>
        <w:rPr>
          <w:rFonts w:ascii="宋体" w:hAnsi="宋体" w:cs="宋体"/>
          <w:color w:val="000000"/>
          <w:sz w:val="24"/>
          <w:szCs w:val="24"/>
          <w:highlight w:val="none"/>
        </w:rPr>
      </w:pPr>
      <w:r/>
      <w:bookmarkStart w:id="8" w:name="EBa792619381574f4f80a873ff49f5edf0"/>
      <w:r/>
      <w:bookmarkEnd w:id="8"/>
      <w:r/>
      <w:bookmarkStart w:id="9" w:name="EBc1b96dd731a04779aedbd25437ffe638"/>
      <w:r/>
      <w:bookmarkEnd w:id="9"/>
      <w:r>
        <w:rPr>
          <w:rFonts w:ascii="宋体" w:hAnsi="宋体" w:cs="宋体"/>
          <w:color w:val="000000"/>
          <w:sz w:val="24"/>
          <w:szCs w:val="24"/>
          <w:highlight w:val="none"/>
        </w:rPr>
      </w:r>
      <w:r/>
    </w:p>
    <w:p>
      <w:pPr>
        <w:pStyle w:val="1131"/>
        <w:ind w:firstLine="422"/>
        <w:spacing w:line="440" w:lineRule="exact"/>
        <w:rPr>
          <w:rFonts w:ascii="宋体" w:hAnsi="宋体" w:cs="宋体"/>
          <w:b/>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000000"/>
          <w:sz w:val="24"/>
          <w:szCs w:val="24"/>
          <w:highlight w:val="none"/>
        </w:rPr>
        <w:t xml:space="preserve">项目概况：</w:t>
      </w:r>
      <w:r>
        <w:rPr>
          <w:rFonts w:ascii="宋体" w:hAnsi="宋体" w:cs="宋体"/>
          <w:b/>
          <w:color w:val="000000"/>
          <w:sz w:val="24"/>
          <w:szCs w:val="24"/>
          <w:highlight w:val="none"/>
        </w:rPr>
      </w:r>
      <w:r/>
    </w:p>
    <w:p>
      <w:pPr>
        <w:pStyle w:val="1131"/>
        <w:ind w:firstLine="420"/>
        <w:spacing w:line="440" w:lineRule="exact"/>
        <w:rPr>
          <w:rFonts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single"/>
        </w:rPr>
        <w:t xml:space="preserve">2025年镇江市丹徒区公路事业发展中心路网指挥中心改造项目</w:t>
      </w:r>
      <w:r>
        <w:rPr>
          <w:rFonts w:hint="eastAsia" w:ascii="宋体" w:hAnsi="宋体" w:cs="宋体"/>
          <w:color w:val="000000"/>
          <w:sz w:val="24"/>
          <w:szCs w:val="24"/>
          <w:highlight w:val="none"/>
        </w:rPr>
        <w:t xml:space="preserve">的潜在投标人应在</w:t>
      </w:r>
      <w:r>
        <w:rPr>
          <w:rFonts w:hint="eastAsia" w:ascii="宋体" w:hAnsi="宋体" w:cs="宋体"/>
          <w:color w:val="000000"/>
          <w:sz w:val="24"/>
          <w:szCs w:val="24"/>
          <w:highlight w:val="none"/>
          <w:u w:val="single"/>
        </w:rPr>
        <w:t xml:space="preserve">苏采云平台http://jszfcg.jscz.gov.cn/jszc/login</w:t>
      </w:r>
      <w:r>
        <w:rPr>
          <w:rFonts w:hint="eastAsia" w:ascii="宋体" w:hAnsi="宋体" w:cs="宋体"/>
          <w:color w:val="000000"/>
          <w:sz w:val="24"/>
          <w:szCs w:val="24"/>
          <w:highlight w:val="none"/>
        </w:rPr>
        <w:t xml:space="preserve">获取招标文件，并于</w:t>
      </w:r>
      <w:r>
        <w:rPr>
          <w:rFonts w:hint="eastAsia" w:ascii="宋体" w:hAnsi="宋体" w:cs="宋体"/>
          <w:bCs/>
          <w:color w:val="000000"/>
          <w:sz w:val="24"/>
          <w:szCs w:val="24"/>
          <w:highlight w:val="none"/>
        </w:rPr>
        <w:t xml:space="preserve">2025年</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22</w:t>
      </w:r>
      <w:r>
        <w:rPr>
          <w:rFonts w:hint="eastAsia" w:ascii="宋体" w:hAnsi="宋体" w:cs="宋体"/>
          <w:bCs/>
          <w:color w:val="000000"/>
          <w:sz w:val="24"/>
          <w:szCs w:val="24"/>
          <w:highlight w:val="none"/>
        </w:rPr>
        <w:t xml:space="preserve">日14点00分（北京时间）前提交响应文件</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131"/>
        <w:spacing w:line="440" w:lineRule="exact"/>
        <w:rPr>
          <w:b/>
          <w:bCs/>
          <w:color w:val="000000"/>
          <w:sz w:val="24"/>
          <w:szCs w:val="24"/>
          <w:highlight w:val="none"/>
        </w:rPr>
      </w:pPr>
      <w:r/>
      <w:bookmarkStart w:id="10" w:name="_Toc109304963"/>
      <w:r/>
      <w:bookmarkStart w:id="11" w:name="_Toc120637719"/>
      <w:r>
        <w:rPr>
          <w:rFonts w:hint="eastAsia"/>
          <w:b/>
          <w:bCs/>
          <w:color w:val="000000"/>
          <w:sz w:val="24"/>
          <w:szCs w:val="24"/>
          <w:highlight w:val="none"/>
        </w:rPr>
        <w:t xml:space="preserve">一、项目基本情况</w:t>
      </w:r>
      <w:bookmarkEnd w:id="10"/>
      <w:r/>
      <w:bookmarkEnd w:id="11"/>
      <w:r>
        <w:rPr>
          <w:b/>
          <w:bCs/>
          <w:color w:val="000000"/>
          <w:sz w:val="24"/>
          <w:szCs w:val="24"/>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项目编号：JSZC-321112-JSDZ-G2025-0225</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项目名称：2025年镇江市丹徒区公路事业发展中心路网指挥中心改造项目</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预算金额：</w:t>
      </w:r>
      <w:bookmarkStart w:id="12" w:name="EB445c7fcf29fe414b849236427ff2b82f"/>
      <w:r>
        <w:rPr>
          <w:rFonts w:hint="eastAsia" w:ascii="宋体" w:hAnsi="宋体"/>
          <w:color w:val="000000"/>
          <w:sz w:val="24"/>
          <w:szCs w:val="28"/>
          <w:highlight w:val="none"/>
        </w:rPr>
        <w:t xml:space="preserve">人民币</w:t>
      </w:r>
      <w:r>
        <w:rPr>
          <w:rFonts w:hint="eastAsia" w:ascii="宋体" w:hAnsi="宋体"/>
          <w:color w:val="000000"/>
          <w:sz w:val="24"/>
          <w:szCs w:val="28"/>
          <w:highlight w:val="none"/>
          <w:lang w:val="en-US" w:eastAsia="zh-CN"/>
        </w:rPr>
        <w:t xml:space="preserve">85.2</w:t>
      </w:r>
      <w:r>
        <w:rPr>
          <w:rFonts w:hint="eastAsia" w:ascii="宋体" w:hAnsi="宋体"/>
          <w:color w:val="000000"/>
          <w:sz w:val="24"/>
          <w:szCs w:val="28"/>
          <w:highlight w:val="none"/>
        </w:rPr>
        <w:t xml:space="preserve">万元</w:t>
      </w:r>
      <w:bookmarkEnd w:id="12"/>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bookmarkStart w:id="13" w:name="EBd8c38ed624164444a3f680d77baa2746"/>
      <w:r/>
      <w:bookmarkEnd w:id="13"/>
      <w:r>
        <w:rPr>
          <w:rFonts w:hint="eastAsia" w:ascii="宋体" w:hAnsi="宋体"/>
          <w:color w:val="000000"/>
          <w:sz w:val="24"/>
          <w:szCs w:val="28"/>
          <w:highlight w:val="none"/>
        </w:rPr>
        <w:t xml:space="preserve">最高限价：</w:t>
      </w:r>
      <w:bookmarkStart w:id="14" w:name="EB2c11cce45e3e4f58aaa44d8ad00d6671"/>
      <w:r>
        <w:rPr>
          <w:rFonts w:hint="eastAsia" w:ascii="宋体" w:hAnsi="宋体"/>
          <w:color w:val="000000"/>
          <w:sz w:val="24"/>
          <w:szCs w:val="28"/>
          <w:highlight w:val="none"/>
        </w:rPr>
        <w:t xml:space="preserve">人民币85.2</w:t>
      </w:r>
      <w:r>
        <w:rPr>
          <w:rFonts w:hint="eastAsia" w:ascii="宋体" w:hAnsi="宋体"/>
          <w:color w:val="000000"/>
          <w:sz w:val="24"/>
          <w:szCs w:val="28"/>
          <w:highlight w:val="none"/>
        </w:rPr>
        <w:t xml:space="preserve">万元</w:t>
      </w:r>
      <w:bookmarkEnd w:id="14"/>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bookmarkStart w:id="15" w:name="EB0b9f938a779e4668a5b8f387db469bf3"/>
      <w:r/>
      <w:bookmarkEnd w:id="15"/>
      <w:r>
        <w:rPr>
          <w:rFonts w:hint="eastAsia" w:ascii="宋体" w:hAnsi="宋体"/>
          <w:color w:val="000000"/>
          <w:sz w:val="24"/>
          <w:szCs w:val="28"/>
          <w:highlight w:val="none"/>
        </w:rPr>
        <w:t xml:space="preserve">采购需求：</w:t>
      </w:r>
      <w:bookmarkStart w:id="16" w:name="EBc986bf50dce3492ba04c091fe5d17008"/>
      <w:r>
        <w:rPr>
          <w:rFonts w:hint="eastAsia" w:ascii="宋体" w:hAnsi="宋体"/>
          <w:color w:val="000000"/>
          <w:sz w:val="24"/>
          <w:szCs w:val="28"/>
          <w:highlight w:val="none"/>
        </w:rPr>
        <w:t xml:space="preserve">详细内容及要求见附件采购需求。</w:t>
      </w:r>
      <w:bookmarkEnd w:id="16"/>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合同履行期限：</w:t>
      </w:r>
      <w:bookmarkStart w:id="17" w:name="EB5ad96df94b5e497a84a7701f4601014f"/>
      <w:r>
        <w:rPr>
          <w:rFonts w:hint="eastAsia" w:ascii="宋体" w:hAnsi="宋体"/>
          <w:color w:val="000000"/>
          <w:sz w:val="24"/>
          <w:szCs w:val="28"/>
          <w:highlight w:val="none"/>
        </w:rPr>
        <w:t xml:space="preserve">详细内容及要求见附件采购需求。</w:t>
      </w:r>
      <w:bookmarkEnd w:id="17"/>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本项目是否接受联合体：不接受</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本项目投标人邀请方式：发布公告</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本次采购确定的成交投标人数量：1名</w:t>
      </w:r>
      <w:r>
        <w:rPr>
          <w:rFonts w:ascii="宋体" w:hAnsi="宋体"/>
          <w:color w:val="000000"/>
          <w:sz w:val="24"/>
          <w:szCs w:val="28"/>
          <w:highlight w:val="none"/>
        </w:rPr>
      </w:r>
      <w:r/>
    </w:p>
    <w:p>
      <w:pPr>
        <w:pStyle w:val="1131"/>
        <w:spacing w:line="360" w:lineRule="auto"/>
        <w:rPr>
          <w:rFonts w:ascii="宋体" w:hAnsi="宋体"/>
          <w:color w:val="000000"/>
          <w:sz w:val="24"/>
          <w:szCs w:val="28"/>
          <w:highlight w:val="none"/>
        </w:rPr>
      </w:pPr>
      <w:r>
        <w:rPr>
          <w:rFonts w:hint="eastAsia" w:ascii="宋体" w:hAnsi="宋体"/>
          <w:b/>
          <w:bCs/>
          <w:color w:val="000000"/>
          <w:sz w:val="24"/>
          <w:szCs w:val="28"/>
          <w:highlight w:val="none"/>
        </w:rPr>
        <w:t xml:space="preserve">二、申请人的资格要求：</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1. 满足《中华人民共和国政府采购法》第二十二条规定； </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（1）具有独立承担民事责任的能力（提供法人或者其他组织的营业执照等证明文件；投标人为自然人的，提供其身</w:t>
      </w:r>
      <w:r>
        <w:rPr>
          <w:rFonts w:hint="eastAsia" w:ascii="宋体" w:hAnsi="宋体"/>
          <w:color w:val="000000"/>
          <w:sz w:val="24"/>
          <w:szCs w:val="28"/>
          <w:highlight w:val="none"/>
        </w:rPr>
        <w:t xml:space="preserve">份证扫描件）；             </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（2）具有良好的商业信誉和健全的财务会计制度[提供2024年度财务报告，成立不满一年的提供至少一个月财务报告，或银行出具的资信证明，或财政部门认可的政府采购专业担保机构出具的投标担保函等</w:t>
      </w:r>
      <w:r>
        <w:rPr>
          <w:rFonts w:hint="eastAsia" w:ascii="宋体" w:hAnsi="宋体" w:cs="宋体"/>
          <w:color w:val="000000"/>
          <w:sz w:val="24"/>
          <w:szCs w:val="28"/>
          <w:highlight w:val="none"/>
        </w:rPr>
        <w:t xml:space="preserve">，或资格承诺函（格式见第六部分）</w:t>
      </w:r>
      <w:r>
        <w:rPr>
          <w:rFonts w:hint="eastAsia" w:ascii="宋体" w:hAnsi="宋体"/>
          <w:color w:val="000000"/>
          <w:sz w:val="24"/>
          <w:szCs w:val="28"/>
          <w:highlight w:val="none"/>
        </w:rPr>
        <w:t xml:space="preserve">]；            </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（3）具有履行合同所必需的设备和专业技术能力（见投标人相关信息一览表或提供资格承诺函</w:t>
      </w:r>
      <w:r>
        <w:rPr>
          <w:rFonts w:hint="eastAsia" w:ascii="宋体" w:hAnsi="宋体" w:cs="宋体"/>
          <w:color w:val="000000"/>
          <w:sz w:val="24"/>
          <w:szCs w:val="28"/>
          <w:highlight w:val="none"/>
        </w:rPr>
        <w:t xml:space="preserve">（格式见第六部分）</w:t>
      </w:r>
      <w:r>
        <w:rPr>
          <w:rFonts w:hint="eastAsia" w:ascii="宋体" w:hAnsi="宋体"/>
          <w:color w:val="000000"/>
          <w:sz w:val="24"/>
          <w:szCs w:val="28"/>
          <w:highlight w:val="none"/>
        </w:rPr>
        <w:t xml:space="preserve">）；             </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（4）有依法缴纳税收和社会保障资金的良好记录（提供参加本次政府采购活动前半年内至少一个月依法缴纳税收和社会保险的凭据或提供资格承诺函</w:t>
      </w:r>
      <w:r>
        <w:rPr>
          <w:rFonts w:hint="eastAsia" w:ascii="宋体" w:hAnsi="宋体" w:cs="宋体"/>
          <w:color w:val="000000"/>
          <w:sz w:val="24"/>
          <w:szCs w:val="28"/>
          <w:highlight w:val="none"/>
        </w:rPr>
        <w:t xml:space="preserve">（格式见第六部分）</w:t>
      </w:r>
      <w:r>
        <w:rPr>
          <w:rFonts w:hint="eastAsia" w:ascii="宋体" w:hAnsi="宋体"/>
          <w:color w:val="000000"/>
          <w:sz w:val="24"/>
          <w:szCs w:val="28"/>
          <w:highlight w:val="none"/>
        </w:rPr>
        <w:t xml:space="preserve">）；         </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（5）参加政府采购活动前三年内，在经营活动中没有重大违法记录（见投标响应函或提供资格承诺函</w:t>
      </w:r>
      <w:r>
        <w:rPr>
          <w:rFonts w:hint="eastAsia" w:ascii="宋体" w:hAnsi="宋体" w:cs="宋体"/>
          <w:color w:val="000000"/>
          <w:sz w:val="24"/>
          <w:szCs w:val="28"/>
          <w:highlight w:val="none"/>
        </w:rPr>
        <w:t xml:space="preserve">（格式见第六部分）</w:t>
      </w:r>
      <w:r>
        <w:rPr>
          <w:rFonts w:hint="eastAsia" w:ascii="宋体" w:hAnsi="宋体"/>
          <w:color w:val="000000"/>
          <w:sz w:val="24"/>
          <w:szCs w:val="28"/>
          <w:highlight w:val="none"/>
        </w:rPr>
        <w:t xml:space="preserve">）；</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（6）法律、行政法规规定的其他条件。             </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2.落实政府采购政策需满足的资格要求：</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s="宋体"/>
          <w:color w:val="000000"/>
          <w:sz w:val="24"/>
          <w:szCs w:val="24"/>
          <w:highlight w:val="none"/>
        </w:rPr>
        <w:t xml:space="preserve">（1）本项目</w:t>
      </w:r>
      <w:r>
        <w:rPr>
          <w:rFonts w:hint="eastAsia" w:ascii="宋体" w:hAnsi="宋体" w:cs="宋体"/>
          <w:color w:val="000000"/>
          <w:sz w:val="24"/>
          <w:szCs w:val="24"/>
          <w:highlight w:val="none"/>
          <w:u w:val="single"/>
        </w:rPr>
        <w:t xml:space="preserve">支持</w:t>
      </w:r>
      <w:r>
        <w:rPr>
          <w:rFonts w:hint="eastAsia" w:ascii="宋体" w:hAnsi="宋体" w:cs="宋体"/>
          <w:color w:val="000000"/>
          <w:sz w:val="24"/>
          <w:szCs w:val="24"/>
          <w:highlight w:val="none"/>
        </w:rPr>
        <w:t xml:space="preserve">和适用节能环保产品（财库【2019】9号）、（财库【2019】19号）、（财库【2019】18号）；支持中小微企业（财库【2022】19号）、（苏财购【2022】45号）、（工信部联企业【2011】300）等政策。</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2）根据财政部、工业和信息化部关于印发《政府采购促进中小企业发展管理办法》的通知及工信部联企业[2011]300号《工业和信息化部、国家统计局、国家发展和改革委员会、财政部关于印发中小企业划型标准规定的通知》等的相关规定，本项目属于</w:t>
      </w:r>
      <w:r>
        <w:rPr>
          <w:rFonts w:hint="eastAsia" w:ascii="宋体" w:hAnsi="宋体"/>
          <w:color w:val="000000"/>
          <w:sz w:val="24"/>
          <w:szCs w:val="28"/>
          <w:highlight w:val="none"/>
          <w:u w:val="single"/>
          <w:lang w:eastAsia="zh-CN"/>
        </w:rPr>
        <w:t xml:space="preserve">服务</w:t>
      </w:r>
      <w:r>
        <w:rPr>
          <w:rFonts w:hint="eastAsia" w:ascii="宋体" w:hAnsi="宋体"/>
          <w:color w:val="000000"/>
          <w:sz w:val="24"/>
          <w:szCs w:val="28"/>
          <w:highlight w:val="none"/>
          <w:u w:val="single"/>
        </w:rPr>
        <w:t xml:space="preserve">类</w:t>
      </w:r>
      <w:r>
        <w:rPr>
          <w:rFonts w:hint="eastAsia" w:ascii="宋体" w:hAnsi="宋体"/>
          <w:color w:val="000000"/>
          <w:sz w:val="24"/>
          <w:szCs w:val="28"/>
          <w:highlight w:val="none"/>
        </w:rPr>
        <w:t xml:space="preserve">项目，采购标的对应的行业为</w:t>
      </w:r>
      <w:r>
        <w:rPr>
          <w:rFonts w:hint="eastAsia" w:ascii="宋体" w:hAnsi="宋体" w:cs="宋体"/>
          <w:color w:val="000000"/>
          <w:sz w:val="24"/>
          <w:szCs w:val="24"/>
          <w:highlight w:val="none"/>
          <w:u w:val="single"/>
        </w:rPr>
        <w:t xml:space="preserve">信息传输业</w:t>
      </w:r>
      <w:r>
        <w:rPr>
          <w:rFonts w:hint="eastAsia" w:ascii="宋体" w:hAnsi="宋体"/>
          <w:color w:val="000000"/>
          <w:sz w:val="24"/>
          <w:szCs w:val="28"/>
          <w:highlight w:val="none"/>
        </w:rPr>
        <w:t xml:space="preserve">，本项目不专门面向中小微企业，如果本项目的</w:t>
      </w:r>
      <w:r>
        <w:rPr>
          <w:rFonts w:hint="eastAsia" w:ascii="宋体" w:hAnsi="宋体"/>
          <w:color w:val="000000"/>
          <w:sz w:val="24"/>
          <w:szCs w:val="28"/>
          <w:highlight w:val="none"/>
          <w:lang w:eastAsia="zh-CN"/>
        </w:rPr>
        <w:t xml:space="preserve">服务</w:t>
      </w:r>
      <w:r>
        <w:rPr>
          <w:rFonts w:hint="eastAsia" w:ascii="宋体" w:hAnsi="宋体"/>
          <w:color w:val="000000"/>
          <w:sz w:val="24"/>
          <w:szCs w:val="28"/>
          <w:highlight w:val="none"/>
        </w:rPr>
        <w:t xml:space="preserve">全部由小型或微型企业或视同小型和微</w:t>
      </w:r>
      <w:r>
        <w:rPr>
          <w:rFonts w:hint="eastAsia" w:ascii="宋体" w:hAnsi="宋体"/>
          <w:color w:val="000000"/>
          <w:sz w:val="24"/>
          <w:szCs w:val="28"/>
          <w:highlight w:val="none"/>
        </w:rPr>
        <w:t xml:space="preserve">型企业承接的，对其价格给予10%的调减，用调减后价格计算价格分。</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(3)根据《财政部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(4)根据《关于促进残疾人就业政府采购政策的通知》(财库〔2017〕141号)要求，残疾人福利性单位视同小型、微型企业。符合条件的残疾人福利性单位应当提供《残疾人福利性单位声明函》，并对声明的真实性负责。</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             </w:t>
      </w:r>
      <w:r>
        <w:rPr>
          <w:rFonts w:ascii="宋体" w:hAnsi="宋体"/>
          <w:color w:val="000000"/>
          <w:sz w:val="24"/>
          <w:szCs w:val="28"/>
          <w:highlight w:val="none"/>
        </w:rPr>
      </w:r>
      <w:r/>
    </w:p>
    <w:p>
      <w:pPr>
        <w:pStyle w:val="1131"/>
        <w:numPr>
          <w:ilvl w:val="0"/>
          <w:numId w:val="15"/>
        </w:num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本项目的特定资格要求：</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无。</w:t>
      </w:r>
      <w:r>
        <w:rPr>
          <w:rFonts w:ascii="宋体" w:hAnsi="宋体"/>
          <w:color w:val="000000"/>
          <w:sz w:val="24"/>
          <w:szCs w:val="28"/>
          <w:highlight w:val="none"/>
        </w:rPr>
      </w:r>
      <w:r/>
    </w:p>
    <w:p>
      <w:pPr>
        <w:pStyle w:val="1131"/>
        <w:spacing w:line="360" w:lineRule="auto"/>
        <w:rPr>
          <w:rFonts w:ascii="宋体" w:hAnsi="宋体"/>
          <w:color w:val="000000"/>
          <w:sz w:val="24"/>
          <w:szCs w:val="28"/>
          <w:highlight w:val="none"/>
        </w:rPr>
      </w:pPr>
      <w:r>
        <w:rPr>
          <w:rFonts w:hint="eastAsia" w:ascii="宋体" w:hAnsi="宋体"/>
          <w:b/>
          <w:bCs/>
          <w:color w:val="000000"/>
          <w:sz w:val="24"/>
          <w:szCs w:val="28"/>
          <w:highlight w:val="none"/>
        </w:rPr>
        <w:t xml:space="preserve">三、获取招标文件：本项目采用网上注册登记方式</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1.潜在投标人访问电子招标投标交易平台的网络地址和方法：</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（1）登录http://jszfcg.jscz.gov.cn/jszc/login首页点击“苏采云”进入系统。</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（2）获取招标文件的方式：</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“苏采云”系统用户注册--获取“CA数字证书”--CA绑定与登录--网上报名--下载招标文件(后缀名为.kedt”)。</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（3）自公告发布之日至2025年</w:t>
      </w:r>
      <w:r>
        <w:rPr>
          <w:rFonts w:hint="eastAsia" w:ascii="宋体" w:hAnsi="宋体"/>
          <w:color w:val="000000"/>
          <w:sz w:val="24"/>
          <w:szCs w:val="28"/>
          <w:highlight w:val="none"/>
          <w:lang w:val="en-US" w:eastAsia="zh-CN"/>
        </w:rPr>
        <w:t xml:space="preserve">12</w:t>
      </w:r>
      <w:r>
        <w:rPr>
          <w:rFonts w:hint="eastAsia" w:ascii="宋体" w:hAnsi="宋体"/>
          <w:color w:val="000000"/>
          <w:sz w:val="24"/>
          <w:szCs w:val="28"/>
          <w:highlight w:val="none"/>
        </w:rPr>
        <w:t xml:space="preserve">月</w:t>
      </w:r>
      <w:r>
        <w:rPr>
          <w:rFonts w:hint="eastAsia" w:ascii="宋体" w:hAnsi="宋体"/>
          <w:color w:val="000000"/>
          <w:sz w:val="24"/>
          <w:szCs w:val="28"/>
          <w:highlight w:val="none"/>
          <w:lang w:val="en-US" w:eastAsia="zh-CN"/>
        </w:rPr>
        <w:t xml:space="preserve">5</w:t>
      </w:r>
      <w:r>
        <w:rPr>
          <w:rFonts w:hint="eastAsia" w:ascii="宋体" w:hAnsi="宋体"/>
          <w:color w:val="000000"/>
          <w:sz w:val="24"/>
          <w:szCs w:val="28"/>
          <w:highlight w:val="none"/>
        </w:rPr>
        <w:t xml:space="preserve">日17:30（北京时间，法定节假日除外）。</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2.采购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3.招标文件获取费用:免费</w:t>
      </w:r>
      <w:r>
        <w:rPr>
          <w:rFonts w:ascii="宋体" w:hAnsi="宋体"/>
          <w:color w:val="000000"/>
          <w:sz w:val="24"/>
          <w:szCs w:val="28"/>
          <w:highlight w:val="none"/>
        </w:rPr>
      </w:r>
      <w:r/>
    </w:p>
    <w:p>
      <w:pPr>
        <w:pStyle w:val="1131"/>
        <w:spacing w:line="360" w:lineRule="auto"/>
        <w:rPr>
          <w:rFonts w:ascii="宋体" w:hAnsi="宋体"/>
          <w:color w:val="000000"/>
          <w:sz w:val="24"/>
          <w:szCs w:val="28"/>
          <w:highlight w:val="none"/>
        </w:rPr>
      </w:pPr>
      <w:r>
        <w:rPr>
          <w:rFonts w:hint="eastAsia" w:ascii="宋体" w:hAnsi="宋体"/>
          <w:b/>
          <w:bCs/>
          <w:color w:val="000000"/>
          <w:sz w:val="24"/>
          <w:szCs w:val="28"/>
          <w:highlight w:val="none"/>
        </w:rPr>
        <w:t xml:space="preserve">四、</w:t>
      </w:r>
      <w:r>
        <w:rPr>
          <w:rFonts w:hint="eastAsia" w:ascii="宋体" w:hAnsi="宋体" w:cs="宋体"/>
          <w:b/>
          <w:bCs/>
          <w:color w:val="000000"/>
          <w:sz w:val="24"/>
          <w:szCs w:val="24"/>
          <w:highlight w:val="none"/>
        </w:rPr>
        <w:t xml:space="preserve">提交投标文件截止时间、开标时间和地点</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提交截止时间及开标时间：2025-</w:t>
      </w:r>
      <w:r>
        <w:rPr>
          <w:rFonts w:hint="eastAsia" w:ascii="宋体" w:hAnsi="宋体"/>
          <w:color w:val="000000"/>
          <w:sz w:val="24"/>
          <w:szCs w:val="28"/>
          <w:highlight w:val="none"/>
          <w:lang w:val="en-US" w:eastAsia="zh-CN"/>
        </w:rPr>
        <w:t xml:space="preserve">12</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22</w:t>
      </w:r>
      <w:r>
        <w:rPr>
          <w:rFonts w:hint="eastAsia" w:ascii="宋体" w:hAnsi="宋体"/>
          <w:color w:val="000000"/>
          <w:sz w:val="24"/>
          <w:szCs w:val="28"/>
          <w:highlight w:val="none"/>
        </w:rPr>
        <w:t xml:space="preserve"> 14:00（北京时间）</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开标地点：苏采云网上开标大厅</w:t>
      </w:r>
      <w:r>
        <w:rPr>
          <w:rFonts w:ascii="宋体" w:hAnsi="宋体"/>
          <w:color w:val="000000"/>
          <w:sz w:val="24"/>
          <w:szCs w:val="28"/>
          <w:highlight w:val="none"/>
        </w:rPr>
      </w:r>
      <w:r/>
    </w:p>
    <w:p>
      <w:pPr>
        <w:pStyle w:val="1131"/>
        <w:ind w:firstLine="480"/>
        <w:spacing w:line="360" w:lineRule="auto"/>
        <w:shd w:val="clear" w:color="auto" w:fill="ffff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注意事项：</w:t>
      </w:r>
      <w:r>
        <w:rPr>
          <w:rFonts w:ascii="宋体" w:hAnsi="宋体" w:cs="宋体"/>
          <w:bCs/>
          <w:color w:val="000000"/>
          <w:sz w:val="24"/>
          <w:szCs w:val="24"/>
          <w:highlight w:val="none"/>
        </w:rPr>
      </w:r>
      <w:r/>
    </w:p>
    <w:p>
      <w:pPr>
        <w:pStyle w:val="1131"/>
        <w:ind w:firstLine="480"/>
        <w:spacing w:line="360" w:lineRule="auto"/>
        <w:shd w:val="clear" w:color="auto" w:fill="ffffff"/>
        <w:rPr>
          <w:rFonts w:ascii="宋体" w:hAnsi="宋体" w:cs="宋体"/>
          <w:color w:val="000000"/>
          <w:sz w:val="24"/>
          <w:szCs w:val="24"/>
          <w:highlight w:val="none"/>
        </w:rPr>
      </w:pPr>
      <w:r>
        <w:rPr>
          <w:rFonts w:hint="eastAsia" w:ascii="宋体" w:hAnsi="宋体" w:cs="宋体"/>
          <w:color w:val="000000"/>
          <w:sz w:val="24"/>
          <w:szCs w:val="24"/>
          <w:highlight w:val="none"/>
        </w:rPr>
        <w:t xml:space="preserve">（1）将后缀名为“.kedt”的投标文件导入政府采购客户端工具--制作投标文件--导出加密的投标文件(后缀名为zip) --通过“苏采云”系统上传投标文件。具体详见《江苏省政府采购管理交易系统(苏采云)投标人操作手册》。</w:t>
      </w:r>
      <w:r>
        <w:rPr>
          <w:rFonts w:ascii="宋体" w:hAnsi="宋体" w:cs="宋体"/>
          <w:color w:val="000000"/>
          <w:sz w:val="24"/>
          <w:szCs w:val="24"/>
          <w:highlight w:val="none"/>
        </w:rPr>
      </w:r>
      <w:r/>
    </w:p>
    <w:p>
      <w:pPr>
        <w:pStyle w:val="1131"/>
        <w:ind w:firstLine="480"/>
        <w:spacing w:line="360" w:lineRule="auto"/>
        <w:shd w:val="clear" w:color="auto" w:fill="ffffff"/>
        <w:rPr>
          <w:rFonts w:ascii="宋体" w:hAnsi="宋体" w:cs="宋体"/>
          <w:color w:val="000000"/>
          <w:sz w:val="24"/>
          <w:szCs w:val="24"/>
          <w:highlight w:val="none"/>
        </w:rPr>
      </w:pPr>
      <w:r>
        <w:rPr>
          <w:rFonts w:hint="eastAsia" w:ascii="宋体" w:hAnsi="宋体" w:cs="宋体"/>
          <w:color w:val="000000"/>
          <w:sz w:val="24"/>
          <w:szCs w:val="24"/>
          <w:highlight w:val="none"/>
        </w:rPr>
        <w:t xml:space="preserve">（2）本项目采用网上开标方式，请投标人事先做好电脑环境准备，自行选择互联网连接畅通的场地，在规定的开标时间登录网上开标大厅进行投标文件解密。</w:t>
      </w:r>
      <w:r>
        <w:rPr>
          <w:rFonts w:ascii="宋体" w:hAnsi="宋体" w:cs="宋体"/>
          <w:color w:val="000000"/>
          <w:sz w:val="24"/>
          <w:szCs w:val="24"/>
          <w:highlight w:val="none"/>
        </w:rPr>
      </w:r>
      <w:r/>
    </w:p>
    <w:p>
      <w:pPr>
        <w:pStyle w:val="1131"/>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（3）“苏采云”系统网址：http://jszfcg.jsczt.cn/“开标大厅”。</w:t>
      </w:r>
      <w:r>
        <w:rPr>
          <w:rFonts w:ascii="宋体" w:hAnsi="宋体" w:cs="宋体"/>
          <w:color w:val="000000"/>
          <w:sz w:val="24"/>
          <w:szCs w:val="24"/>
          <w:highlight w:val="none"/>
        </w:rPr>
      </w:r>
      <w:r/>
    </w:p>
    <w:p>
      <w:pPr>
        <w:pStyle w:val="1333"/>
        <w:ind w:left="-142"/>
        <w:jc w:val="both"/>
        <w:spacing w:line="240" w:lineRule="auto"/>
        <w:rPr>
          <w:rFonts w:ascii="宋体" w:hAnsi="宋体" w:eastAsia="宋体" w:cs="宋体"/>
          <w:color w:val="000000"/>
          <w:szCs w:val="24"/>
          <w:highlight w:val="none"/>
        </w:rPr>
      </w:pPr>
      <w:r/>
      <w:bookmarkStart w:id="18" w:name="_Toc4818"/>
      <w:r/>
      <w:bookmarkStart w:id="19" w:name="_Toc11070"/>
      <w:r/>
      <w:bookmarkStart w:id="20" w:name="_Toc76632871"/>
      <w:r/>
      <w:bookmarkStart w:id="21" w:name="_Toc256000005"/>
      <w:r>
        <w:rPr>
          <w:rFonts w:hint="eastAsia" w:ascii="宋体" w:hAnsi="宋体" w:eastAsia="宋体" w:cs="宋体"/>
          <w:color w:val="000000"/>
          <w:szCs w:val="24"/>
          <w:highlight w:val="none"/>
        </w:rPr>
        <w:t xml:space="preserve">五、公告期限</w:t>
      </w:r>
      <w:bookmarkEnd w:id="18"/>
      <w:r/>
      <w:bookmarkEnd w:id="19"/>
      <w:r/>
      <w:bookmarkEnd w:id="20"/>
      <w:r/>
      <w:bookmarkEnd w:id="21"/>
      <w:r>
        <w:rPr>
          <w:rFonts w:ascii="宋体" w:hAnsi="宋体" w:eastAsia="宋体" w:cs="宋体"/>
          <w:color w:val="000000"/>
          <w:szCs w:val="24"/>
          <w:highlight w:val="none"/>
        </w:rPr>
      </w:r>
      <w:r/>
    </w:p>
    <w:p>
      <w:pPr>
        <w:pStyle w:val="1131"/>
        <w:ind w:firstLine="480"/>
        <w:spacing w:line="360" w:lineRule="auto"/>
        <w:shd w:val="clear" w:color="auto" w:fill="ffffff"/>
        <w:rPr>
          <w:rFonts w:hint="eastAsia" w:ascii="Times New Roman" w:hAnsi="Times New Roman" w:eastAsia="宋体" w:cs="宋体"/>
          <w:color w:val="000000"/>
          <w:sz w:val="24"/>
          <w:szCs w:val="28"/>
          <w:highlight w:val="none"/>
          <w:lang w:val="en-US" w:eastAsia="zh-CN" w:bidi="ar-SA"/>
        </w:rPr>
      </w:pPr>
      <w:r>
        <w:rPr>
          <w:rFonts w:hint="eastAsia" w:ascii="Times New Roman" w:hAnsi="Times New Roman" w:eastAsia="宋体" w:cs="宋体"/>
          <w:color w:val="000000"/>
          <w:sz w:val="24"/>
          <w:szCs w:val="28"/>
          <w:highlight w:val="none"/>
          <w:lang w:val="en-US" w:eastAsia="zh-CN" w:bidi="ar-SA"/>
        </w:rPr>
        <w:t xml:space="preserve">自本公告发布之日起5个工作日。</w:t>
      </w:r>
      <w:r>
        <w:rPr>
          <w:rFonts w:hint="eastAsia" w:ascii="Times New Roman" w:hAnsi="Times New Roman" w:eastAsia="宋体" w:cs="宋体"/>
          <w:color w:val="000000"/>
          <w:sz w:val="24"/>
          <w:szCs w:val="28"/>
          <w:highlight w:val="none"/>
          <w:lang w:val="en-US" w:eastAsia="zh-CN" w:bidi="ar-SA"/>
        </w:rPr>
      </w:r>
      <w:r/>
    </w:p>
    <w:p>
      <w:pPr>
        <w:pStyle w:val="1333"/>
        <w:ind w:left="-142"/>
        <w:jc w:val="both"/>
        <w:spacing w:line="24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六、其他补充事宜</w:t>
      </w:r>
      <w:r>
        <w:rPr>
          <w:rFonts w:ascii="宋体" w:hAnsi="宋体" w:eastAsia="宋体" w:cs="宋体"/>
          <w:color w:val="000000"/>
          <w:szCs w:val="24"/>
          <w:highlight w:val="none"/>
        </w:rPr>
      </w:r>
      <w:r/>
    </w:p>
    <w:p>
      <w:pPr>
        <w:pStyle w:val="1703"/>
        <w:ind w:firstLine="480"/>
        <w:spacing w:line="360" w:lineRule="auto"/>
        <w:tabs>
          <w:tab w:val="center" w:pos="4153" w:leader="none"/>
          <w:tab w:val="right" w:pos="8306" w:leader="none"/>
        </w:tabs>
        <w:rPr>
          <w:rFonts w:cs="宋体"/>
          <w:color w:val="000000"/>
          <w:sz w:val="24"/>
          <w:szCs w:val="28"/>
          <w:highlight w:val="none"/>
        </w:rPr>
      </w:pPr>
      <w:r>
        <w:rPr>
          <w:rFonts w:hint="eastAsia" w:cs="宋体"/>
          <w:color w:val="000000"/>
          <w:sz w:val="24"/>
          <w:szCs w:val="28"/>
          <w:highlight w:val="none"/>
        </w:rPr>
        <w:t xml:space="preserve">1、本项目通过电子交易平台进行采购，请详细阅读平台操作指南；投标人在使用系统的过程中遇到涉及平台使用的任何问题，可致电交易中心技术支持热线咨询，联系方式：0519-86722803。</w:t>
      </w:r>
      <w:r>
        <w:rPr>
          <w:rFonts w:cs="宋体"/>
          <w:color w:val="000000"/>
          <w:sz w:val="24"/>
          <w:szCs w:val="28"/>
          <w:highlight w:val="none"/>
        </w:rPr>
      </w:r>
      <w:r/>
    </w:p>
    <w:p>
      <w:pPr>
        <w:pStyle w:val="1703"/>
        <w:ind w:firstLine="480"/>
        <w:spacing w:line="360" w:lineRule="auto"/>
        <w:tabs>
          <w:tab w:val="center" w:pos="4153" w:leader="none"/>
          <w:tab w:val="right" w:pos="8306" w:leader="none"/>
        </w:tabs>
        <w:rPr>
          <w:rFonts w:cs="宋体"/>
          <w:color w:val="000000"/>
          <w:sz w:val="24"/>
          <w:szCs w:val="28"/>
          <w:highlight w:val="none"/>
        </w:rPr>
      </w:pPr>
      <w:r>
        <w:rPr>
          <w:rFonts w:hint="eastAsia" w:cs="宋体"/>
          <w:color w:val="000000"/>
          <w:sz w:val="24"/>
          <w:szCs w:val="28"/>
          <w:highlight w:val="none"/>
        </w:rPr>
        <w:t xml:space="preserve">2、投标文件递交截止时间后，采购代理机构将通过开标会议区发出投标文件解密的指令，投标人在各自地点按规定时间自行实施远程解密，投标人</w:t>
      </w:r>
      <w:r>
        <w:rPr>
          <w:rFonts w:hint="eastAsia" w:cs="宋体"/>
          <w:color w:val="000000"/>
          <w:sz w:val="24"/>
          <w:szCs w:val="28"/>
          <w:highlight w:val="non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rPr>
          <w:rFonts w:cs="宋体"/>
          <w:color w:val="000000"/>
          <w:sz w:val="24"/>
          <w:szCs w:val="28"/>
          <w:highlight w:val="none"/>
        </w:rPr>
      </w:r>
      <w:r/>
    </w:p>
    <w:p>
      <w:pPr>
        <w:pStyle w:val="1703"/>
        <w:ind w:firstLine="480"/>
        <w:spacing w:line="360" w:lineRule="auto"/>
        <w:tabs>
          <w:tab w:val="center" w:pos="4153" w:leader="none"/>
          <w:tab w:val="right" w:pos="8306" w:leader="none"/>
        </w:tabs>
        <w:rPr>
          <w:rFonts w:cs="宋体"/>
          <w:color w:val="000000"/>
          <w:sz w:val="24"/>
          <w:szCs w:val="24"/>
          <w:highlight w:val="none"/>
        </w:rPr>
      </w:pPr>
      <w:r>
        <w:rPr>
          <w:rFonts w:hint="eastAsia" w:cs="宋体"/>
          <w:color w:val="000000"/>
          <w:sz w:val="24"/>
          <w:szCs w:val="28"/>
          <w:highlight w:val="none"/>
        </w:rPr>
        <w:t xml:space="preserve">3、因投标人自身软硬件配备不齐全或发生故障等问题而导致在交互过程中出现不稳定或中断等情况的，由投标人自身承担一切后果</w:t>
      </w:r>
      <w:r>
        <w:rPr>
          <w:rFonts w:hint="eastAsia" w:cs="宋体"/>
          <w:color w:val="000000"/>
          <w:sz w:val="24"/>
          <w:szCs w:val="24"/>
          <w:highlight w:val="none"/>
        </w:rPr>
        <w:t xml:space="preserve">。</w:t>
      </w:r>
      <w:r>
        <w:rPr>
          <w:rFonts w:cs="宋体"/>
          <w:color w:val="000000"/>
          <w:sz w:val="24"/>
          <w:szCs w:val="24"/>
          <w:highlight w:val="none"/>
        </w:rPr>
      </w:r>
      <w:r/>
    </w:p>
    <w:p>
      <w:pPr>
        <w:pStyle w:val="1131"/>
        <w:ind w:firstLine="480"/>
        <w:spacing w:line="360" w:lineRule="auto"/>
        <w:rPr>
          <w:rFonts w:ascii="宋体" w:hAnsi="宋体"/>
          <w:color w:val="000000"/>
          <w:sz w:val="24"/>
          <w:szCs w:val="28"/>
          <w:highlight w:val="none"/>
        </w:rPr>
      </w:pPr>
      <w:r>
        <w:rPr>
          <w:rFonts w:hint="eastAsia" w:cs="宋体"/>
          <w:color w:val="000000"/>
          <w:sz w:val="24"/>
          <w:szCs w:val="28"/>
          <w:highlight w:val="none"/>
        </w:rPr>
        <w:t xml:space="preserve">4、请各投标人及时关注和查看“江苏政府采购网”是否有更正公告。因投标人自身原因未能及时获取的，一切后果由投标人自行承担。</w:t>
      </w:r>
      <w:r>
        <w:rPr>
          <w:rFonts w:ascii="宋体" w:hAnsi="宋体"/>
          <w:color w:val="000000"/>
          <w:sz w:val="24"/>
          <w:szCs w:val="28"/>
          <w:highlight w:val="none"/>
        </w:rPr>
      </w:r>
      <w:r/>
    </w:p>
    <w:p>
      <w:pPr>
        <w:pStyle w:val="1131"/>
        <w:spacing w:line="360" w:lineRule="auto"/>
        <w:rPr>
          <w:rFonts w:ascii="宋体" w:hAnsi="宋体"/>
          <w:color w:val="000000"/>
          <w:sz w:val="24"/>
          <w:szCs w:val="28"/>
          <w:highlight w:val="none"/>
        </w:rPr>
      </w:pPr>
      <w:r>
        <w:rPr>
          <w:rFonts w:hint="eastAsia" w:ascii="宋体" w:hAnsi="宋体"/>
          <w:b/>
          <w:bCs/>
          <w:color w:val="000000"/>
          <w:sz w:val="24"/>
          <w:szCs w:val="28"/>
          <w:highlight w:val="none"/>
        </w:rPr>
        <w:t xml:space="preserve">七、对本次招标提出询问，请按以下方式联系。</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s="宋体"/>
          <w:color w:val="000000"/>
          <w:sz w:val="24"/>
          <w:szCs w:val="28"/>
          <w:highlight w:val="none"/>
        </w:rPr>
        <w:t xml:space="preserve">1.采购人信息</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名 称：镇江市丹徒区交通运输局</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地 址：</w:t>
      </w:r>
      <w:r>
        <w:rPr>
          <w:rFonts w:hint="eastAsia" w:ascii="宋体" w:hAnsi="宋体"/>
          <w:color w:val="000000"/>
          <w:sz w:val="24"/>
          <w:szCs w:val="28"/>
          <w:highlight w:val="none"/>
          <w:lang w:eastAsia="zh-CN"/>
        </w:rPr>
        <w:t xml:space="preserve">镇江市丹徒区谷阳大道</w:t>
      </w:r>
      <w:r>
        <w:rPr>
          <w:rFonts w:hint="eastAsia" w:ascii="宋体" w:hAnsi="宋体"/>
          <w:color w:val="000000"/>
          <w:sz w:val="24"/>
          <w:szCs w:val="28"/>
          <w:highlight w:val="none"/>
          <w:lang w:val="en-US" w:eastAsia="zh-CN"/>
        </w:rPr>
        <w:t xml:space="preserve">280</w:t>
      </w:r>
      <w:r>
        <w:rPr>
          <w:rFonts w:hint="eastAsia" w:ascii="宋体" w:hAnsi="宋体"/>
          <w:color w:val="000000"/>
          <w:sz w:val="24"/>
          <w:szCs w:val="28"/>
          <w:highlight w:val="none"/>
        </w:rPr>
        <w:t xml:space="preserve">号</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联系方式：</w:t>
      </w:r>
      <w:r>
        <w:rPr>
          <w:rFonts w:hint="eastAsia" w:ascii="宋体" w:hAnsi="宋体"/>
          <w:color w:val="000000"/>
          <w:sz w:val="24"/>
          <w:szCs w:val="28"/>
          <w:highlight w:val="none"/>
        </w:rPr>
        <w:t xml:space="preserve">0511-80827064</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s="宋体"/>
          <w:color w:val="000000"/>
          <w:sz w:val="24"/>
          <w:szCs w:val="28"/>
          <w:highlight w:val="none"/>
        </w:rPr>
        <w:t xml:space="preserve">2.采购代理机构信息</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名 称：大洲设计咨询集团有限公司</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地 址：常州市钟楼区西林街道西林村委大冯家村56号三楼</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联系方式：0519-83380008</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s="宋体"/>
          <w:color w:val="000000"/>
          <w:sz w:val="24"/>
          <w:szCs w:val="28"/>
          <w:highlight w:val="none"/>
        </w:rPr>
        <w:t xml:space="preserve">3.项目联系方式</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项目联系人：</w:t>
      </w:r>
      <w:bookmarkStart w:id="22" w:name="EB6f626c49f2bc4f0d934300d5e43f77e1"/>
      <w:r>
        <w:rPr>
          <w:rFonts w:hint="eastAsia" w:ascii="宋体" w:hAnsi="宋体"/>
          <w:color w:val="000000"/>
          <w:sz w:val="24"/>
          <w:szCs w:val="28"/>
          <w:highlight w:val="none"/>
        </w:rPr>
        <w:t xml:space="preserve">苏工</w:t>
      </w:r>
      <w:bookmarkEnd w:id="22"/>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电　话：18816277889</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ascii="宋体" w:hAnsi="宋体"/>
          <w:color w:val="000000"/>
          <w:sz w:val="24"/>
          <w:szCs w:val="28"/>
          <w:highlight w:val="none"/>
        </w:rPr>
      </w:r>
      <w:r/>
    </w:p>
    <w:p>
      <w:pPr>
        <w:pStyle w:val="1131"/>
        <w:ind w:left="1079" w:hanging="300"/>
        <w:jc w:val="right"/>
        <w:spacing w:line="440" w:lineRule="exact"/>
        <w:rPr>
          <w:rFonts w:ascii="宋体" w:hAnsi="宋体" w:cs="宋体"/>
          <w:color w:val="000000"/>
          <w:sz w:val="24"/>
          <w:szCs w:val="28"/>
          <w:highlight w:val="none"/>
        </w:rPr>
      </w:pPr>
      <w:r>
        <w:rPr>
          <w:rFonts w:ascii="宋体" w:hAnsi="宋体" w:cs="宋体"/>
          <w:color w:val="000000"/>
          <w:sz w:val="24"/>
          <w:szCs w:val="28"/>
          <w:highlight w:val="none"/>
        </w:rPr>
      </w:r>
      <w:r/>
    </w:p>
    <w:p>
      <w:pPr>
        <w:pStyle w:val="1131"/>
        <w:ind w:left="1079" w:hanging="300"/>
        <w:jc w:val="right"/>
        <w:spacing w:line="44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大洲设计咨询集团有限公司</w:t>
      </w:r>
      <w:r>
        <w:rPr>
          <w:rFonts w:ascii="宋体" w:hAnsi="宋体" w:cs="宋体"/>
          <w:color w:val="000000"/>
          <w:sz w:val="24"/>
          <w:szCs w:val="28"/>
          <w:highlight w:val="none"/>
        </w:rPr>
      </w:r>
      <w:r/>
    </w:p>
    <w:p>
      <w:pPr>
        <w:pStyle w:val="1131"/>
        <w:ind w:left="1079" w:hanging="300"/>
        <w:jc w:val="right"/>
        <w:spacing w:line="44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 日期：</w:t>
      </w:r>
      <w:bookmarkStart w:id="23" w:name="EB499532d412a54fe589662730bab46a4d"/>
      <w:r>
        <w:rPr>
          <w:rFonts w:hint="eastAsia" w:ascii="宋体" w:hAnsi="宋体" w:cs="宋体"/>
          <w:color w:val="000000"/>
          <w:sz w:val="24"/>
          <w:szCs w:val="28"/>
          <w:highlight w:val="none"/>
        </w:rPr>
        <w:t xml:space="preserve">2025年</w:t>
      </w:r>
      <w:r>
        <w:rPr>
          <w:rFonts w:hint="eastAsia" w:ascii="宋体" w:hAnsi="宋体" w:cs="宋体"/>
          <w:color w:val="000000"/>
          <w:sz w:val="24"/>
          <w:szCs w:val="28"/>
          <w:highlight w:val="none"/>
          <w:lang w:val="en-US" w:eastAsia="zh-CN"/>
        </w:rPr>
        <w:t xml:space="preserve">11</w:t>
      </w:r>
      <w:r>
        <w:rPr>
          <w:rFonts w:hint="eastAsia" w:ascii="宋体" w:hAnsi="宋体" w:cs="宋体"/>
          <w:color w:val="000000"/>
          <w:sz w:val="24"/>
          <w:szCs w:val="28"/>
          <w:highlight w:val="none"/>
        </w:rPr>
        <w:t xml:space="preserve">月</w:t>
      </w:r>
      <w:r>
        <w:rPr>
          <w:rFonts w:hint="eastAsia" w:ascii="宋体" w:hAnsi="宋体" w:cs="宋体"/>
          <w:color w:val="000000"/>
          <w:sz w:val="24"/>
          <w:szCs w:val="28"/>
          <w:highlight w:val="none"/>
          <w:lang w:val="en-US" w:eastAsia="zh-CN"/>
        </w:rPr>
        <w:t xml:space="preserve">28</w:t>
      </w:r>
      <w:r>
        <w:rPr>
          <w:rFonts w:hint="eastAsia" w:ascii="宋体" w:hAnsi="宋体" w:cs="宋体"/>
          <w:color w:val="000000"/>
          <w:sz w:val="24"/>
          <w:szCs w:val="28"/>
          <w:highlight w:val="none"/>
        </w:rPr>
        <w:t xml:space="preserve">日</w:t>
      </w:r>
      <w:bookmarkEnd w:id="23"/>
      <w:r>
        <w:rPr>
          <w:rFonts w:ascii="宋体" w:hAnsi="宋体" w:cs="宋体"/>
          <w:color w:val="000000"/>
          <w:sz w:val="24"/>
          <w:szCs w:val="28"/>
          <w:highlight w:val="none"/>
        </w:rPr>
      </w:r>
      <w:r/>
    </w:p>
    <w:p>
      <w:pPr>
        <w:pStyle w:val="1131"/>
        <w:ind w:left="1079" w:hanging="300"/>
        <w:jc w:val="right"/>
        <w:spacing w:line="440" w:lineRule="exact"/>
        <w:rPr>
          <w:rFonts w:ascii="宋体" w:hAnsi="宋体" w:cs="宋体"/>
          <w:color w:val="000000"/>
          <w:sz w:val="24"/>
          <w:szCs w:val="28"/>
          <w:highlight w:val="none"/>
        </w:rPr>
      </w:pPr>
      <w:r>
        <w:rPr>
          <w:rFonts w:ascii="宋体" w:hAnsi="宋体" w:cs="宋体"/>
          <w:color w:val="000000"/>
          <w:sz w:val="24"/>
          <w:szCs w:val="28"/>
          <w:highlight w:val="none"/>
        </w:rPr>
      </w:r>
      <w:r/>
    </w:p>
    <w:p>
      <w:pPr>
        <w:pStyle w:val="1131"/>
        <w:jc w:val="center"/>
        <w:rPr>
          <w:rFonts w:ascii="宋体" w:hAnsi="宋体"/>
          <w:b/>
          <w:color w:val="000000"/>
          <w:sz w:val="36"/>
          <w:szCs w:val="36"/>
          <w:highlight w:val="none"/>
        </w:rPr>
        <w:sectPr>
          <w:headerReference w:type="default" r:id="rId9"/>
          <w:headerReference w:type="first" r:id="rId10"/>
          <w:footerReference w:type="default" r:id="rId24"/>
          <w:footerReference w:type="even" r:id="rId25"/>
          <w:footerReference w:type="first" r:id="rId26"/>
          <w:footnotePr/>
          <w:endnotePr/>
          <w:type w:val="nextPage"/>
          <w:pgSz w:w="11905" w:h="16838" w:orient="portrait"/>
          <w:pgMar w:top="1134" w:right="1134" w:bottom="1134" w:left="1417" w:header="850" w:footer="850" w:gutter="0"/>
          <w:pgNumType w:start="1"/>
          <w:cols w:num="1" w:sep="0" w:space="1701" w:equalWidth="1"/>
          <w:docGrid w:linePitch="360"/>
        </w:sectPr>
      </w:pPr>
      <w:r/>
      <w:bookmarkStart w:id="24" w:name="EBda5c7ad6f15b4c988a3940c84859592d"/>
      <w:r/>
      <w:bookmarkEnd w:id="24"/>
      <w:r/>
      <w:bookmarkStart w:id="25" w:name="_Toc77255554"/>
      <w:r/>
      <w:bookmarkStart w:id="26" w:name="_Toc77255443"/>
      <w:r>
        <w:rPr>
          <w:rFonts w:ascii="宋体" w:hAnsi="宋体"/>
          <w:b/>
          <w:color w:val="000000"/>
          <w:sz w:val="36"/>
          <w:szCs w:val="36"/>
          <w:highlight w:val="none"/>
        </w:rPr>
      </w:r>
      <w:r/>
    </w:p>
    <w:p>
      <w:pPr>
        <w:pStyle w:val="1331"/>
        <w:jc w:val="center"/>
        <w:rPr>
          <w:rFonts w:ascii="宋体" w:hAnsi="宋体"/>
          <w:b/>
          <w:color w:val="000000"/>
          <w:szCs w:val="36"/>
          <w:highlight w:val="none"/>
        </w:rPr>
      </w:pPr>
      <w:r/>
      <w:bookmarkStart w:id="27" w:name="_Toc26732"/>
      <w:r>
        <w:rPr>
          <w:rFonts w:hint="eastAsia" w:ascii="宋体" w:hAnsi="宋体" w:eastAsia="宋体" w:cs="宋体"/>
          <w:b/>
          <w:bCs/>
          <w:color w:val="000000"/>
          <w:sz w:val="36"/>
          <w:szCs w:val="36"/>
          <w:highlight w:val="none"/>
        </w:rPr>
        <w:t xml:space="preserve">第二部分  投标人须知</w:t>
      </w:r>
      <w:bookmarkEnd w:id="25"/>
      <w:r/>
      <w:bookmarkEnd w:id="26"/>
      <w:r/>
      <w:bookmarkEnd w:id="27"/>
      <w:r>
        <w:rPr>
          <w:rFonts w:ascii="宋体" w:hAnsi="宋体"/>
          <w:b/>
          <w:color w:val="000000"/>
          <w:szCs w:val="36"/>
          <w:highlight w:val="none"/>
        </w:rPr>
      </w:r>
      <w:r/>
    </w:p>
    <w:p>
      <w:pPr>
        <w:pStyle w:val="1699"/>
        <w:jc w:val="center"/>
        <w:tabs>
          <w:tab w:val="left" w:pos="567" w:leader="none"/>
        </w:tabs>
        <w:rPr>
          <w:rFonts w:ascii="宋体" w:eastAsia="宋体"/>
          <w:color w:val="000000"/>
          <w:highlight w:val="none"/>
        </w:rPr>
      </w:pPr>
      <w:r/>
      <w:bookmarkStart w:id="28" w:name="EB7ec04de6add74f1da74759710a5d42ce"/>
      <w:r/>
      <w:bookmarkEnd w:id="28"/>
      <w:r/>
      <w:bookmarkStart w:id="29" w:name="EBb6dad13ce0f1417dbbca177b7ae97625"/>
      <w:r/>
      <w:bookmarkEnd w:id="29"/>
      <w:r>
        <w:rPr>
          <w:rFonts w:hint="eastAsia" w:ascii="宋体" w:eastAsia="宋体"/>
          <w:color w:val="000000"/>
          <w:highlight w:val="none"/>
        </w:rPr>
        <w:t xml:space="preserve">前附表</w:t>
      </w:r>
      <w:r>
        <w:rPr>
          <w:rFonts w:ascii="宋体" w:eastAsia="宋体"/>
          <w:color w:val="000000"/>
          <w:highlight w:val="none"/>
        </w:rPr>
      </w:r>
      <w:r/>
    </w:p>
    <w:tbl>
      <w:tblPr>
        <w:tblW w:w="85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521"/>
        <w:gridCol w:w="6313"/>
      </w:tblGrid>
      <w:tr>
        <w:trPr/>
        <w:tc>
          <w:tcPr>
            <w:tcW w:w="670" w:type="dxa"/>
            <w:vAlign w:val="center"/>
            <w:textDirection w:val="lrTb"/>
            <w:noWrap/>
          </w:tcPr>
          <w:p>
            <w:pPr>
              <w:pStyle w:val="1339"/>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1521" w:type="dxa"/>
            <w:vAlign w:val="center"/>
            <w:textDirection w:val="lrTb"/>
            <w:noWrap/>
          </w:tcPr>
          <w:p>
            <w:pPr>
              <w:pStyle w:val="1339"/>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事项</w:t>
            </w:r>
            <w:r>
              <w:rPr>
                <w:rFonts w:ascii="宋体" w:hAnsi="宋体" w:cs="宋体"/>
                <w:color w:val="000000"/>
                <w:sz w:val="24"/>
                <w:szCs w:val="24"/>
                <w:highlight w:val="none"/>
              </w:rPr>
            </w:r>
            <w:r/>
          </w:p>
        </w:tc>
        <w:tc>
          <w:tcPr>
            <w:tcW w:w="6313" w:type="dxa"/>
            <w:vAlign w:val="center"/>
            <w:textDirection w:val="lrTb"/>
            <w:noWrap/>
          </w:tcPr>
          <w:p>
            <w:pPr>
              <w:pStyle w:val="1339"/>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本项目规定</w:t>
            </w:r>
            <w:r>
              <w:rPr>
                <w:rFonts w:ascii="宋体" w:hAnsi="宋体" w:cs="宋体"/>
                <w:color w:val="000000"/>
                <w:sz w:val="24"/>
                <w:szCs w:val="24"/>
                <w:highlight w:val="none"/>
              </w:rPr>
            </w:r>
            <w:r/>
          </w:p>
        </w:tc>
      </w:tr>
      <w:tr>
        <w:trPr/>
        <w:tc>
          <w:tcPr>
            <w:tcW w:w="670" w:type="dxa"/>
            <w:vAlign w:val="center"/>
            <w:textDirection w:val="lrTb"/>
            <w:noWrap/>
          </w:tcPr>
          <w:p>
            <w:pPr>
              <w:pStyle w:val="1339"/>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521" w:type="dxa"/>
            <w:vAlign w:val="center"/>
            <w:textDirection w:val="lrTb"/>
            <w:noWrap/>
          </w:tcPr>
          <w:p>
            <w:pPr>
              <w:pStyle w:val="1339"/>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报价要求</w:t>
            </w:r>
            <w:r>
              <w:rPr>
                <w:rFonts w:ascii="宋体" w:hAnsi="宋体" w:cs="宋体"/>
                <w:color w:val="000000"/>
                <w:sz w:val="24"/>
                <w:szCs w:val="24"/>
                <w:highlight w:val="none"/>
              </w:rPr>
            </w:r>
            <w:r/>
          </w:p>
        </w:tc>
        <w:tc>
          <w:tcPr>
            <w:tcW w:w="6313" w:type="dxa"/>
            <w:vAlign w:val="center"/>
            <w:textDirection w:val="lrTb"/>
            <w:noWrap/>
          </w:tcPr>
          <w:p>
            <w:pPr>
              <w:pStyle w:val="1339"/>
              <w:ind w:firstLine="0"/>
              <w:rPr>
                <w:rFonts w:ascii="宋体" w:hAnsi="宋体" w:cs="宋体"/>
                <w:color w:val="000000"/>
                <w:sz w:val="24"/>
                <w:szCs w:val="24"/>
                <w:highlight w:val="none"/>
              </w:rPr>
            </w:pPr>
            <w:r>
              <w:rPr>
                <w:rFonts w:hint="eastAsia" w:ascii="宋体" w:hAnsi="宋体" w:cs="宋体"/>
                <w:color w:val="000000"/>
                <w:sz w:val="24"/>
                <w:szCs w:val="24"/>
                <w:highlight w:val="none"/>
              </w:rPr>
              <w:t xml:space="preserve">本次投标报价的币种为人民币。</w:t>
            </w:r>
            <w:r>
              <w:rPr>
                <w:rFonts w:ascii="宋体" w:hAnsi="宋体" w:cs="宋体"/>
                <w:color w:val="000000"/>
                <w:sz w:val="24"/>
                <w:szCs w:val="24"/>
                <w:highlight w:val="none"/>
              </w:rPr>
            </w:r>
            <w:r/>
          </w:p>
          <w:p>
            <w:pPr>
              <w:pStyle w:val="1339"/>
              <w:ind w:firstLine="0"/>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投标人应按招标文件所提供的各报价表格式报价。</w:t>
            </w:r>
            <w:r>
              <w:rPr>
                <w:rFonts w:ascii="宋体" w:hAnsi="宋体" w:cs="宋体"/>
                <w:color w:val="000000"/>
                <w:sz w:val="24"/>
                <w:szCs w:val="24"/>
                <w:highlight w:val="none"/>
              </w:rPr>
            </w:r>
            <w:r/>
          </w:p>
          <w:p>
            <w:pPr>
              <w:pStyle w:val="1339"/>
              <w:ind w:firstLine="0"/>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投标人应对本项目报出最具有竞争力的价格，应包括本次招标要求提供的</w:t>
            </w:r>
            <w:r>
              <w:rPr>
                <w:rFonts w:hint="eastAsia" w:ascii="宋体" w:hAnsi="宋体" w:cs="宋体"/>
                <w:color w:val="000000"/>
                <w:sz w:val="24"/>
                <w:szCs w:val="24"/>
                <w:highlight w:val="none"/>
                <w:lang w:eastAsia="zh-CN"/>
              </w:rPr>
              <w:t xml:space="preserve">服务</w:t>
            </w:r>
            <w:r>
              <w:rPr>
                <w:rFonts w:hint="eastAsia" w:ascii="宋体" w:hAnsi="宋体" w:cs="宋体"/>
                <w:color w:val="000000"/>
                <w:sz w:val="24"/>
                <w:szCs w:val="24"/>
                <w:highlight w:val="none"/>
              </w:rPr>
              <w:t xml:space="preserve">已支付或将支付的所有费用（含税费）。</w:t>
            </w:r>
            <w:r>
              <w:rPr>
                <w:rFonts w:ascii="宋体" w:hAnsi="宋体" w:cs="宋体"/>
                <w:color w:val="000000"/>
                <w:sz w:val="24"/>
                <w:szCs w:val="24"/>
                <w:highlight w:val="none"/>
              </w:rPr>
            </w:r>
            <w:r/>
          </w:p>
          <w:p>
            <w:pPr>
              <w:pStyle w:val="1339"/>
              <w:ind w:firstLine="0"/>
              <w:rPr>
                <w:rFonts w:ascii="宋体" w:hAnsi="宋体" w:cs="宋体"/>
                <w:color w:val="000000"/>
                <w:sz w:val="24"/>
                <w:szCs w:val="24"/>
                <w:highlight w:val="none"/>
              </w:rPr>
            </w:pPr>
            <w:r>
              <w:rPr>
                <w:rFonts w:hint="eastAsia" w:ascii="宋体" w:hAnsi="宋体" w:cs="宋体"/>
                <w:color w:val="000000"/>
                <w:sz w:val="24"/>
                <w:szCs w:val="24"/>
                <w:highlight w:val="none"/>
              </w:rPr>
              <w:t xml:space="preserve">最低投标报价不能作为中标的保证。</w:t>
            </w:r>
            <w:r>
              <w:rPr>
                <w:rFonts w:ascii="宋体" w:hAnsi="宋体" w:cs="宋体"/>
                <w:color w:val="000000"/>
                <w:sz w:val="24"/>
                <w:szCs w:val="24"/>
                <w:highlight w:val="none"/>
              </w:rPr>
            </w:r>
            <w:r/>
          </w:p>
          <w:p>
            <w:pPr>
              <w:pStyle w:val="1339"/>
              <w:ind w:firstLine="0"/>
              <w:rPr>
                <w:rFonts w:ascii="宋体" w:hAnsi="宋体" w:cs="宋体"/>
                <w:color w:val="000000"/>
                <w:sz w:val="24"/>
                <w:szCs w:val="24"/>
                <w:highlight w:val="none"/>
              </w:rPr>
            </w:pPr>
            <w:r>
              <w:rPr>
                <w:rFonts w:hint="eastAsia" w:ascii="宋体" w:hAnsi="宋体" w:cs="宋体"/>
                <w:color w:val="000000"/>
                <w:sz w:val="24"/>
                <w:szCs w:val="24"/>
                <w:highlight w:val="none"/>
              </w:rPr>
              <w:t xml:space="preserve">中标价即为合同签约价。</w:t>
            </w:r>
            <w:r>
              <w:rPr>
                <w:rFonts w:ascii="宋体" w:hAnsi="宋体" w:cs="宋体"/>
                <w:color w:val="000000"/>
                <w:sz w:val="24"/>
                <w:szCs w:val="24"/>
                <w:highlight w:val="none"/>
              </w:rPr>
            </w:r>
            <w:r/>
          </w:p>
          <w:p>
            <w:pPr>
              <w:pStyle w:val="1339"/>
              <w:ind w:firstLine="0"/>
              <w:rPr>
                <w:rFonts w:ascii="宋体" w:hAnsi="宋体" w:cs="宋体"/>
                <w:color w:val="000000"/>
                <w:sz w:val="24"/>
                <w:szCs w:val="24"/>
                <w:highlight w:val="none"/>
              </w:rPr>
            </w:pPr>
            <w:r>
              <w:rPr>
                <w:rFonts w:hint="eastAsia" w:ascii="宋体" w:hAnsi="宋体" w:cs="宋体"/>
                <w:color w:val="000000"/>
                <w:sz w:val="24"/>
                <w:szCs w:val="24"/>
                <w:highlight w:val="none"/>
              </w:rPr>
              <w:t xml:space="preserve">如出现报价前后不一致的，将按招标文件第五部分“评标办法和标准”第5项规定进行修正。</w:t>
            </w:r>
            <w:r>
              <w:rPr>
                <w:rFonts w:ascii="宋体" w:hAnsi="宋体" w:cs="宋体"/>
                <w:color w:val="000000"/>
                <w:sz w:val="24"/>
                <w:szCs w:val="24"/>
                <w:highlight w:val="none"/>
              </w:rPr>
            </w:r>
            <w:r/>
          </w:p>
        </w:tc>
      </w:tr>
      <w:tr>
        <w:trPr>
          <w:trHeight w:val="1366"/>
        </w:trPr>
        <w:tc>
          <w:tcPr>
            <w:tcW w:w="670" w:type="dxa"/>
            <w:vAlign w:val="center"/>
            <w:textDirection w:val="lrTb"/>
            <w:noWrap/>
          </w:tcPr>
          <w:p>
            <w:pPr>
              <w:pStyle w:val="1339"/>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1521" w:type="dxa"/>
            <w:vAlign w:val="center"/>
            <w:textDirection w:val="lrTb"/>
            <w:noWrap/>
          </w:tcPr>
          <w:p>
            <w:pPr>
              <w:pStyle w:val="1339"/>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转包及分包</w:t>
            </w:r>
            <w:r>
              <w:rPr>
                <w:rFonts w:ascii="宋体" w:hAnsi="宋体" w:cs="宋体"/>
                <w:color w:val="000000"/>
                <w:sz w:val="24"/>
                <w:szCs w:val="24"/>
                <w:highlight w:val="none"/>
              </w:rPr>
            </w:r>
            <w:r/>
          </w:p>
        </w:tc>
        <w:tc>
          <w:tcPr>
            <w:tcW w:w="6313" w:type="dxa"/>
            <w:vAlign w:val="center"/>
            <w:textDirection w:val="lrTb"/>
            <w:noWrap/>
          </w:tcPr>
          <w:p>
            <w:pPr>
              <w:pStyle w:val="1339"/>
              <w:ind w:firstLine="0"/>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项目依法不得转包</w:t>
            </w:r>
            <w:r>
              <w:rPr>
                <w:rFonts w:ascii="宋体" w:hAnsi="宋体" w:cs="宋体"/>
                <w:color w:val="000000"/>
                <w:sz w:val="24"/>
                <w:szCs w:val="24"/>
                <w:highlight w:val="none"/>
              </w:rPr>
            </w:r>
            <w:r/>
          </w:p>
          <w:p>
            <w:pPr>
              <w:pStyle w:val="1339"/>
              <w:ind w:firstLine="0"/>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本项目不同意分包。</w:t>
            </w:r>
            <w:r>
              <w:rPr>
                <w:rFonts w:ascii="宋体" w:hAnsi="宋体" w:cs="宋体"/>
                <w:color w:val="000000"/>
                <w:sz w:val="24"/>
                <w:szCs w:val="24"/>
                <w:highlight w:val="none"/>
              </w:rPr>
            </w:r>
            <w:r/>
          </w:p>
        </w:tc>
      </w:tr>
      <w:tr>
        <w:trPr>
          <w:trHeight w:val="1071"/>
        </w:trPr>
        <w:tc>
          <w:tcPr>
            <w:tcW w:w="670" w:type="dxa"/>
            <w:vAlign w:val="center"/>
            <w:textDirection w:val="lrTb"/>
            <w:noWrap/>
          </w:tcPr>
          <w:p>
            <w:pPr>
              <w:pStyle w:val="1339"/>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1521" w:type="dxa"/>
            <w:vAlign w:val="center"/>
            <w:textDirection w:val="lrTb"/>
            <w:noWrap/>
          </w:tcPr>
          <w:p>
            <w:pPr>
              <w:pStyle w:val="1339"/>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开标前答疑会</w:t>
            </w:r>
            <w:r>
              <w:rPr>
                <w:rFonts w:ascii="宋体" w:hAnsi="宋体" w:cs="宋体"/>
                <w:color w:val="000000"/>
                <w:sz w:val="24"/>
                <w:szCs w:val="24"/>
                <w:highlight w:val="none"/>
              </w:rPr>
            </w:r>
            <w:r/>
          </w:p>
        </w:tc>
        <w:tc>
          <w:tcPr>
            <w:tcW w:w="6313" w:type="dxa"/>
            <w:vAlign w:val="center"/>
            <w:textDirection w:val="lrTb"/>
            <w:noWrap/>
          </w:tcPr>
          <w:p>
            <w:pPr>
              <w:pStyle w:val="1339"/>
              <w:ind w:firstLine="0"/>
              <w:rPr>
                <w:rFonts w:ascii="宋体" w:hAnsi="宋体" w:cs="宋体"/>
                <w:b/>
                <w:color w:val="000000"/>
                <w:sz w:val="24"/>
                <w:szCs w:val="24"/>
                <w:highlight w:val="none"/>
              </w:rPr>
            </w:pPr>
            <w:r>
              <w:rPr>
                <w:rFonts w:hint="eastAsia" w:ascii="宋体" w:hAnsi="宋体" w:cs="宋体"/>
                <w:color w:val="000000"/>
                <w:sz w:val="24"/>
                <w:szCs w:val="24"/>
                <w:highlight w:val="none"/>
              </w:rPr>
              <w:t xml:space="preserve">不组织</w:t>
            </w:r>
            <w:r>
              <w:rPr>
                <w:rFonts w:ascii="宋体" w:hAnsi="宋体" w:cs="宋体"/>
                <w:b/>
                <w:color w:val="000000"/>
                <w:sz w:val="24"/>
                <w:szCs w:val="24"/>
                <w:highlight w:val="none"/>
              </w:rPr>
            </w:r>
            <w:r/>
          </w:p>
        </w:tc>
      </w:tr>
      <w:tr>
        <w:trPr>
          <w:trHeight w:val="936"/>
        </w:trPr>
        <w:tc>
          <w:tcPr>
            <w:tcW w:w="670" w:type="dxa"/>
            <w:vAlign w:val="center"/>
            <w:textDirection w:val="lrTb"/>
            <w:noWrap/>
          </w:tcPr>
          <w:p>
            <w:pPr>
              <w:pStyle w:val="1339"/>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1521" w:type="dxa"/>
            <w:vAlign w:val="center"/>
            <w:textDirection w:val="lrTb"/>
            <w:noWrap/>
          </w:tcPr>
          <w:p>
            <w:pPr>
              <w:pStyle w:val="1339"/>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现场踏勘</w:t>
            </w:r>
            <w:r>
              <w:rPr>
                <w:rFonts w:ascii="宋体" w:hAnsi="宋体" w:cs="宋体"/>
                <w:color w:val="000000"/>
                <w:sz w:val="24"/>
                <w:szCs w:val="24"/>
                <w:highlight w:val="none"/>
              </w:rPr>
            </w:r>
            <w:r/>
          </w:p>
        </w:tc>
        <w:tc>
          <w:tcPr>
            <w:tcW w:w="6313" w:type="dxa"/>
            <w:vAlign w:val="center"/>
            <w:textDirection w:val="lrTb"/>
            <w:noWrap/>
          </w:tcPr>
          <w:p>
            <w:pPr>
              <w:pStyle w:val="1339"/>
              <w:ind w:firstLine="0"/>
              <w:rPr>
                <w:rFonts w:ascii="宋体" w:hAnsi="宋体" w:cs="宋体"/>
                <w:color w:val="000000"/>
                <w:sz w:val="24"/>
                <w:szCs w:val="24"/>
                <w:highlight w:val="none"/>
              </w:rPr>
            </w:pPr>
            <w:r>
              <w:rPr>
                <w:rFonts w:hint="eastAsia" w:ascii="宋体" w:hAnsi="宋体" w:cs="宋体"/>
                <w:color w:val="000000"/>
                <w:sz w:val="24"/>
                <w:szCs w:val="24"/>
                <w:highlight w:val="none"/>
              </w:rPr>
              <w:t xml:space="preserve">不统一组织</w:t>
            </w:r>
            <w:r>
              <w:rPr>
                <w:rFonts w:ascii="宋体" w:hAnsi="宋体" w:cs="宋体"/>
                <w:color w:val="000000"/>
                <w:sz w:val="24"/>
                <w:szCs w:val="24"/>
                <w:highlight w:val="none"/>
              </w:rPr>
            </w:r>
            <w:r/>
          </w:p>
        </w:tc>
      </w:tr>
      <w:tr>
        <w:trPr>
          <w:trHeight w:val="666"/>
        </w:trPr>
        <w:tc>
          <w:tcPr>
            <w:tcW w:w="670" w:type="dxa"/>
            <w:vAlign w:val="center"/>
            <w:textDirection w:val="lrTb"/>
            <w:noWrap/>
          </w:tcPr>
          <w:p>
            <w:pPr>
              <w:pStyle w:val="1339"/>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1521" w:type="dxa"/>
            <w:vAlign w:val="center"/>
            <w:textDirection w:val="lrTb"/>
            <w:noWrap/>
          </w:tcPr>
          <w:p>
            <w:pPr>
              <w:pStyle w:val="1339"/>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演示</w:t>
            </w:r>
            <w:r>
              <w:rPr>
                <w:rFonts w:ascii="宋体" w:hAnsi="宋体" w:cs="宋体"/>
                <w:color w:val="000000"/>
                <w:sz w:val="24"/>
                <w:szCs w:val="24"/>
                <w:highlight w:val="none"/>
              </w:rPr>
            </w:r>
            <w:r/>
          </w:p>
        </w:tc>
        <w:tc>
          <w:tcPr>
            <w:tcW w:w="6313" w:type="dxa"/>
            <w:vAlign w:val="center"/>
            <w:textDirection w:val="lrTb"/>
            <w:noWrap/>
          </w:tcPr>
          <w:p>
            <w:pPr>
              <w:pStyle w:val="1339"/>
              <w:ind w:firstLine="0"/>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ascii="宋体" w:hAnsi="宋体" w:cs="宋体"/>
                <w:color w:val="000000"/>
                <w:sz w:val="24"/>
                <w:szCs w:val="24"/>
                <w:highlight w:val="none"/>
              </w:rPr>
            </w:r>
            <w:r/>
          </w:p>
        </w:tc>
      </w:tr>
      <w:tr>
        <w:trPr>
          <w:trHeight w:val="636"/>
        </w:trPr>
        <w:tc>
          <w:tcPr>
            <w:tcW w:w="670" w:type="dxa"/>
            <w:vAlign w:val="center"/>
            <w:textDirection w:val="lrTb"/>
            <w:noWrap/>
          </w:tcPr>
          <w:p>
            <w:pPr>
              <w:pStyle w:val="1339"/>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1521" w:type="dxa"/>
            <w:vAlign w:val="center"/>
            <w:textDirection w:val="lrTb"/>
            <w:noWrap/>
          </w:tcPr>
          <w:p>
            <w:pPr>
              <w:pStyle w:val="1339"/>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样品</w:t>
            </w:r>
            <w:r>
              <w:rPr>
                <w:rFonts w:ascii="宋体" w:hAnsi="宋体" w:cs="宋体"/>
                <w:color w:val="000000"/>
                <w:sz w:val="24"/>
                <w:szCs w:val="24"/>
                <w:highlight w:val="none"/>
              </w:rPr>
            </w:r>
            <w:r/>
          </w:p>
        </w:tc>
        <w:tc>
          <w:tcPr>
            <w:tcW w:w="6313" w:type="dxa"/>
            <w:vAlign w:val="center"/>
            <w:textDirection w:val="lrTb"/>
            <w:noWrap/>
          </w:tcPr>
          <w:p>
            <w:pPr>
              <w:pStyle w:val="1339"/>
              <w:ind w:firstLine="0"/>
              <w:rPr>
                <w:rFonts w:ascii="宋体" w:hAnsi="宋体" w:cs="宋体"/>
                <w:color w:val="000000"/>
                <w:sz w:val="24"/>
                <w:szCs w:val="24"/>
                <w:highlight w:val="none"/>
              </w:rPr>
            </w:pPr>
            <w:r>
              <w:rPr>
                <w:rFonts w:hint="eastAsia" w:ascii="宋体" w:hAnsi="宋体" w:cs="宋体"/>
                <w:color w:val="000000"/>
                <w:sz w:val="24"/>
                <w:szCs w:val="24"/>
                <w:highlight w:val="none"/>
              </w:rPr>
              <w:t xml:space="preserve">不要求提供。</w:t>
            </w:r>
            <w:r>
              <w:rPr>
                <w:rFonts w:ascii="宋体" w:hAnsi="宋体" w:cs="宋体"/>
                <w:color w:val="000000"/>
                <w:sz w:val="24"/>
                <w:szCs w:val="24"/>
                <w:highlight w:val="none"/>
              </w:rPr>
            </w:r>
            <w:r/>
          </w:p>
        </w:tc>
      </w:tr>
      <w:tr>
        <w:trPr>
          <w:trHeight w:val="867"/>
        </w:trPr>
        <w:tc>
          <w:tcPr>
            <w:tcW w:w="670" w:type="dxa"/>
            <w:vAlign w:val="center"/>
            <w:textDirection w:val="lrTb"/>
            <w:noWrap/>
          </w:tcPr>
          <w:p>
            <w:pPr>
              <w:pStyle w:val="1339"/>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tc>
        <w:tc>
          <w:tcPr>
            <w:tcW w:w="1521" w:type="dxa"/>
            <w:vAlign w:val="center"/>
            <w:textDirection w:val="lrTb"/>
            <w:noWrap/>
          </w:tcPr>
          <w:p>
            <w:pPr>
              <w:pStyle w:val="1339"/>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是否允许采购进口产品</w:t>
            </w:r>
            <w:r>
              <w:rPr>
                <w:rFonts w:ascii="宋体" w:hAnsi="宋体" w:cs="宋体"/>
                <w:color w:val="000000"/>
                <w:sz w:val="24"/>
                <w:szCs w:val="24"/>
                <w:highlight w:val="none"/>
              </w:rPr>
            </w:r>
            <w:r/>
          </w:p>
        </w:tc>
        <w:tc>
          <w:tcPr>
            <w:tcW w:w="6313" w:type="dxa"/>
            <w:vAlign w:val="center"/>
            <w:textDirection w:val="lrTb"/>
            <w:noWrap/>
          </w:tcPr>
          <w:p>
            <w:pPr>
              <w:pStyle w:val="1339"/>
              <w:ind w:firstLine="0"/>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本项目不允许采购进口产品。</w:t>
            </w:r>
            <w:r>
              <w:rPr>
                <w:rFonts w:ascii="宋体" w:hAnsi="宋体" w:cs="宋体"/>
                <w:color w:val="000000"/>
                <w:sz w:val="24"/>
                <w:szCs w:val="24"/>
                <w:highlight w:val="none"/>
              </w:rPr>
            </w:r>
            <w:r/>
          </w:p>
        </w:tc>
      </w:tr>
      <w:tr>
        <w:trPr/>
        <w:tc>
          <w:tcPr>
            <w:tcW w:w="670" w:type="dxa"/>
            <w:vAlign w:val="center"/>
            <w:textDirection w:val="lrTb"/>
            <w:noWrap/>
          </w:tcPr>
          <w:p>
            <w:pPr>
              <w:pStyle w:val="1339"/>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W w:w="1521" w:type="dxa"/>
            <w:vAlign w:val="center"/>
            <w:textDirection w:val="lrTb"/>
            <w:noWrap/>
          </w:tcPr>
          <w:p>
            <w:pPr>
              <w:pStyle w:val="1339"/>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采购标的对应的中小企业划分标准所属行业</w:t>
            </w:r>
            <w:r>
              <w:rPr>
                <w:rFonts w:ascii="宋体" w:hAnsi="宋体" w:cs="宋体"/>
                <w:color w:val="000000"/>
                <w:sz w:val="24"/>
                <w:szCs w:val="24"/>
                <w:highlight w:val="none"/>
              </w:rPr>
            </w:r>
            <w:r/>
          </w:p>
        </w:tc>
        <w:tc>
          <w:tcPr>
            <w:tcW w:w="6313" w:type="dxa"/>
            <w:vAlign w:val="center"/>
            <w:textDirection w:val="lrTb"/>
            <w:noWrap/>
          </w:tcPr>
          <w:p>
            <w:pPr>
              <w:pStyle w:val="1131"/>
              <w:numPr>
                <w:ilvl w:val="0"/>
                <w:numId w:val="16"/>
              </w:numPr>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标的：</w:t>
            </w:r>
            <w:r>
              <w:rPr>
                <w:rFonts w:hint="eastAsia" w:ascii="宋体" w:hAnsi="宋体" w:cs="宋体"/>
                <w:color w:val="000000"/>
                <w:sz w:val="24"/>
                <w:szCs w:val="24"/>
                <w:highlight w:val="none"/>
                <w:u w:val="single"/>
              </w:rPr>
              <w:t xml:space="preserve">2025年镇江市丹徒区公路事业发展中心路网指挥中心改造项目</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信息传输业</w:t>
            </w:r>
            <w:r>
              <w:rPr>
                <w:rFonts w:hint="eastAsia" w:ascii="宋体" w:hAnsi="宋体" w:cs="宋体"/>
                <w:color w:val="000000"/>
                <w:sz w:val="24"/>
                <w:szCs w:val="24"/>
                <w:highlight w:val="none"/>
              </w:rPr>
              <w:t xml:space="preserve">行业；</w:t>
            </w:r>
            <w:r>
              <w:rPr>
                <w:rFonts w:ascii="宋体" w:hAnsi="宋体" w:cs="宋体"/>
                <w:color w:val="000000"/>
                <w:sz w:val="24"/>
                <w:szCs w:val="24"/>
                <w:highlight w:val="none"/>
              </w:rPr>
            </w:r>
            <w:r/>
          </w:p>
          <w:p>
            <w:pPr>
              <w:pStyle w:val="1131"/>
              <w:numPr>
                <w:ilvl w:val="0"/>
                <w:numId w:val="16"/>
              </w:numPr>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本项目属于</w:t>
            </w:r>
            <w:r>
              <w:rPr>
                <w:rFonts w:hint="eastAsia" w:ascii="宋体" w:hAnsi="宋体" w:cs="宋体"/>
                <w:color w:val="000000"/>
                <w:sz w:val="24"/>
                <w:szCs w:val="24"/>
                <w:highlight w:val="none"/>
                <w:lang w:eastAsia="zh-CN"/>
              </w:rPr>
              <w:t xml:space="preserve">服务</w:t>
            </w:r>
            <w:r>
              <w:rPr>
                <w:rFonts w:hint="eastAsia" w:ascii="宋体" w:hAnsi="宋体" w:cs="宋体"/>
                <w:color w:val="000000"/>
                <w:sz w:val="24"/>
                <w:szCs w:val="24"/>
                <w:highlight w:val="none"/>
              </w:rPr>
              <w:t xml:space="preserve">类项目，采购标的对应的行业为</w:t>
            </w:r>
            <w:r>
              <w:rPr>
                <w:rFonts w:hint="eastAsia" w:ascii="宋体" w:hAnsi="宋体" w:cs="宋体"/>
                <w:color w:val="000000"/>
                <w:sz w:val="24"/>
                <w:szCs w:val="24"/>
                <w:highlight w:val="none"/>
                <w:u w:val="single"/>
              </w:rPr>
              <w:t xml:space="preserve">信息传输业</w:t>
            </w:r>
            <w:r>
              <w:rPr>
                <w:rFonts w:hint="eastAsia" w:ascii="宋体" w:hAnsi="宋体" w:cs="宋体"/>
                <w:color w:val="000000"/>
                <w:sz w:val="24"/>
                <w:szCs w:val="24"/>
                <w:highlight w:val="none"/>
              </w:rPr>
              <w:t xml:space="preserve">，中小企业划型标准请对照《关于印发中小企业划型标准规定的通知》（工信部联企业〔2011〕300号）（详见附件）。</w:t>
            </w:r>
            <w:r>
              <w:rPr>
                <w:rFonts w:ascii="宋体" w:hAnsi="宋体" w:cs="宋体"/>
                <w:color w:val="000000"/>
                <w:sz w:val="24"/>
                <w:szCs w:val="24"/>
                <w:highlight w:val="none"/>
              </w:rPr>
            </w:r>
            <w:r/>
          </w:p>
        </w:tc>
      </w:tr>
      <w:tr>
        <w:trPr/>
        <w:tc>
          <w:tcPr>
            <w:tcW w:w="670" w:type="dxa"/>
            <w:vAlign w:val="center"/>
            <w:textDirection w:val="lrTb"/>
            <w:noWrap/>
          </w:tcPr>
          <w:p>
            <w:pPr>
              <w:pStyle w:val="1339"/>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c>
          <w:tcPr>
            <w:tcW w:w="1521" w:type="dxa"/>
            <w:vAlign w:val="center"/>
            <w:textDirection w:val="lrTb"/>
            <w:noWrap/>
          </w:tcPr>
          <w:p>
            <w:pPr>
              <w:pStyle w:val="1339"/>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节能产品、环境标志产品</w:t>
            </w:r>
            <w:r>
              <w:rPr>
                <w:rFonts w:ascii="宋体" w:hAnsi="宋体" w:cs="宋体"/>
                <w:color w:val="000000"/>
                <w:sz w:val="24"/>
                <w:szCs w:val="24"/>
                <w:highlight w:val="none"/>
              </w:rPr>
            </w:r>
            <w:r/>
          </w:p>
        </w:tc>
        <w:tc>
          <w:tcPr>
            <w:tcW w:w="6313" w:type="dxa"/>
            <w:vAlign w:val="center"/>
            <w:textDirection w:val="lrTb"/>
            <w:noWrap/>
          </w:tcPr>
          <w:p>
            <w:pPr>
              <w:pStyle w:val="1131"/>
              <w:ind w:firstLine="480"/>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本项目</w:t>
            </w:r>
            <w:r>
              <w:rPr>
                <w:rFonts w:hint="eastAsia" w:ascii="宋体" w:hAnsi="宋体" w:cs="宋体"/>
                <w:color w:val="000000"/>
                <w:sz w:val="24"/>
                <w:szCs w:val="24"/>
                <w:highlight w:val="none"/>
                <w:u w:val="single"/>
              </w:rPr>
              <w:t xml:space="preserve">支持</w:t>
            </w:r>
            <w:r>
              <w:rPr>
                <w:rFonts w:hint="eastAsia" w:ascii="宋体" w:hAnsi="宋体" w:cs="宋体"/>
                <w:color w:val="000000"/>
                <w:sz w:val="24"/>
                <w:szCs w:val="24"/>
                <w:highlight w:val="none"/>
              </w:rPr>
              <w:t xml:space="preserve">和适用节能环保产品（财库【2019】9号）、（财库【2019】19号）、（财库【2019】18号）；支持中小微企业（财库【2022】19号）、（苏财购【2022】45号）、（工信部联企业【2011】300）等政策。</w:t>
            </w:r>
            <w:r>
              <w:rPr>
                <w:rFonts w:ascii="宋体" w:hAnsi="宋体" w:cs="宋体"/>
                <w:color w:val="000000"/>
                <w:sz w:val="24"/>
                <w:szCs w:val="24"/>
                <w:highlight w:val="none"/>
              </w:rPr>
            </w:r>
            <w:r/>
          </w:p>
        </w:tc>
      </w:tr>
      <w:tr>
        <w:trPr/>
        <w:tc>
          <w:tcPr>
            <w:tcW w:w="670" w:type="dxa"/>
            <w:vAlign w:val="center"/>
            <w:textDirection w:val="lrTb"/>
            <w:noWrap/>
          </w:tcPr>
          <w:p>
            <w:pPr>
              <w:pStyle w:val="1339"/>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W w:w="1521" w:type="dxa"/>
            <w:vAlign w:val="center"/>
            <w:textDirection w:val="lrTb"/>
            <w:noWrap/>
          </w:tcPr>
          <w:p>
            <w:pPr>
              <w:pStyle w:val="1339"/>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中小企业信用融资</w:t>
            </w:r>
            <w:r>
              <w:rPr>
                <w:rFonts w:ascii="宋体" w:hAnsi="宋体" w:cs="宋体"/>
                <w:color w:val="000000"/>
                <w:sz w:val="24"/>
                <w:szCs w:val="24"/>
                <w:highlight w:val="none"/>
              </w:rPr>
            </w:r>
            <w:r/>
          </w:p>
        </w:tc>
        <w:tc>
          <w:tcPr>
            <w:tcW w:w="6313" w:type="dxa"/>
            <w:vAlign w:val="center"/>
            <w:textDirection w:val="lrTb"/>
            <w:noWrap/>
          </w:tcPr>
          <w:p>
            <w:pPr>
              <w:pStyle w:val="1339"/>
              <w:ind w:firstLine="0"/>
              <w:rPr>
                <w:rFonts w:ascii="宋体" w:hAnsi="宋体" w:cs="宋体"/>
                <w:color w:val="000000"/>
                <w:sz w:val="24"/>
                <w:szCs w:val="24"/>
                <w:highlight w:val="none"/>
              </w:rPr>
            </w:pPr>
            <w:r>
              <w:rPr>
                <w:rFonts w:hint="eastAsia" w:ascii="宋体" w:hAnsi="宋体" w:cs="宋体"/>
                <w:color w:val="000000"/>
                <w:sz w:val="24"/>
                <w:szCs w:val="24"/>
                <w:highlight w:val="none"/>
              </w:rPr>
              <w:t xml:space="preserve">为进一步发挥政府采购政策导向作用，有效缓解企业融资难题，推进完善应收账款融资服务平台的融资服务功能，促进中小微企业平稳健康发展，</w:t>
            </w:r>
            <w:bookmarkStart w:id="30" w:name="_Hlk136445673"/>
            <w:r>
              <w:rPr>
                <w:rFonts w:hint="eastAsia" w:ascii="宋体" w:hAnsi="宋体" w:cs="宋体"/>
                <w:color w:val="000000"/>
                <w:sz w:val="24"/>
                <w:szCs w:val="24"/>
                <w:highlight w:val="none"/>
              </w:rPr>
              <w:t xml:space="preserve">镇江市财政局和中国人民银行镇江市中心支行联合印发《关于转发〈关于深入推进政府采购线上合同信用融资工作的通知〉的通知》</w:t>
            </w:r>
            <w:bookmarkEnd w:id="30"/>
            <w:r>
              <w:rPr>
                <w:rFonts w:hint="eastAsia" w:ascii="宋体" w:hAnsi="宋体" w:cs="宋体"/>
                <w:color w:val="000000"/>
                <w:sz w:val="24"/>
                <w:szCs w:val="24"/>
                <w:highlight w:val="none"/>
              </w:rPr>
              <w:t xml:space="preserve">，</w:t>
            </w:r>
            <w:bookmarkStart w:id="31" w:name="_Hlk136444446"/>
            <w:r>
              <w:rPr>
                <w:rFonts w:hint="eastAsia" w:ascii="宋体" w:hAnsi="宋体" w:cs="宋体"/>
                <w:color w:val="000000"/>
                <w:sz w:val="24"/>
                <w:szCs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31"/>
            <w:r>
              <w:rPr>
                <w:rFonts w:hint="eastAsia" w:ascii="宋体" w:hAnsi="宋体" w:cs="宋体"/>
                <w:color w:val="000000"/>
                <w:sz w:val="24"/>
                <w:szCs w:val="24"/>
                <w:highlight w:val="none"/>
              </w:rPr>
              <w:t xml:space="preserve">办理流程详见江苏政府采购网“政采贷”栏目，网址：http://www.ccgp-jiangsu.gov.cn/jiangsu/paying.html咨询电话：镇江市财政局政府采购处0511-80909958。</w:t>
            </w:r>
            <w:r>
              <w:rPr>
                <w:rFonts w:ascii="宋体" w:hAnsi="宋体" w:cs="宋体"/>
                <w:color w:val="000000"/>
                <w:sz w:val="24"/>
                <w:szCs w:val="24"/>
                <w:highlight w:val="none"/>
              </w:rPr>
            </w:r>
            <w:r/>
          </w:p>
        </w:tc>
      </w:tr>
      <w:tr>
        <w:trPr/>
        <w:tc>
          <w:tcPr>
            <w:tcW w:w="670" w:type="dxa"/>
            <w:vAlign w:val="center"/>
            <w:textDirection w:val="lrTb"/>
            <w:noWrap/>
          </w:tcPr>
          <w:p>
            <w:pPr>
              <w:pStyle w:val="1339"/>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rPr>
            </w:r>
            <w:r/>
          </w:p>
        </w:tc>
        <w:tc>
          <w:tcPr>
            <w:tcW w:w="1521" w:type="dxa"/>
            <w:vAlign w:val="center"/>
            <w:textDirection w:val="lrTb"/>
            <w:noWrap/>
          </w:tcPr>
          <w:p>
            <w:pPr>
              <w:pStyle w:val="1339"/>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特别说明</w:t>
            </w:r>
            <w:r>
              <w:rPr>
                <w:rFonts w:ascii="宋体" w:hAnsi="宋体" w:cs="宋体"/>
                <w:color w:val="000000"/>
                <w:sz w:val="24"/>
                <w:szCs w:val="24"/>
                <w:highlight w:val="none"/>
              </w:rPr>
            </w:r>
            <w:r/>
          </w:p>
        </w:tc>
        <w:tc>
          <w:tcPr>
            <w:tcW w:w="6313" w:type="dxa"/>
            <w:vAlign w:val="center"/>
            <w:textDirection w:val="lrTb"/>
            <w:noWrap/>
          </w:tcPr>
          <w:p>
            <w:pPr>
              <w:pStyle w:val="1339"/>
              <w:ind w:firstLine="0"/>
              <w:rPr>
                <w:rFonts w:ascii="宋体" w:hAnsi="宋体" w:cs="宋体"/>
                <w:color w:val="000000"/>
                <w:sz w:val="24"/>
                <w:szCs w:val="24"/>
                <w:highlight w:val="none"/>
              </w:rPr>
            </w:pPr>
            <w:r>
              <w:rPr>
                <w:rFonts w:hint="eastAsia" w:ascii="宋体" w:hAnsi="宋体" w:cs="宋体"/>
                <w:color w:val="000000"/>
                <w:sz w:val="24"/>
                <w:szCs w:val="24"/>
                <w:highlight w:val="none"/>
              </w:rPr>
              <w:t xml:space="preserve">本文件所称进口产品是指通过中国海关报关验放进入中国境内且产自关境外的产品。</w:t>
            </w:r>
            <w:r>
              <w:rPr>
                <w:rFonts w:ascii="宋体" w:hAnsi="宋体" w:cs="宋体"/>
                <w:color w:val="000000"/>
                <w:sz w:val="24"/>
                <w:szCs w:val="24"/>
                <w:highlight w:val="none"/>
              </w:rPr>
            </w:r>
            <w:r/>
          </w:p>
        </w:tc>
      </w:tr>
    </w:tbl>
    <w:p>
      <w:pPr>
        <w:pStyle w:val="1131"/>
        <w:rPr>
          <w:color w:val="000000"/>
          <w:highlight w:val="none"/>
        </w:rPr>
      </w:pPr>
      <w:r>
        <w:rPr>
          <w:color w:val="000000"/>
          <w:highlight w:val="none"/>
        </w:rPr>
      </w:r>
      <w:r/>
    </w:p>
    <w:p>
      <w:pPr>
        <w:pStyle w:val="1131"/>
        <w:jc w:val="center"/>
        <w:keepLines/>
        <w:keepNext/>
        <w:spacing w:line="360" w:lineRule="auto"/>
        <w:rPr>
          <w:rFonts w:ascii="宋体" w:hAnsi="宋体" w:cs="宋体"/>
          <w:b/>
          <w:color w:val="000000"/>
          <w:sz w:val="24"/>
          <w:szCs w:val="28"/>
          <w:highlight w:val="none"/>
        </w:rPr>
        <w:outlineLvl w:val="1"/>
      </w:pPr>
      <w:r/>
      <w:bookmarkStart w:id="32" w:name="_Toc18928"/>
      <w:r>
        <w:rPr>
          <w:rFonts w:hint="eastAsia" w:ascii="宋体" w:hAnsi="宋体" w:cs="宋体"/>
          <w:b/>
          <w:color w:val="000000"/>
          <w:sz w:val="24"/>
          <w:szCs w:val="28"/>
          <w:highlight w:val="none"/>
        </w:rPr>
        <w:t xml:space="preserve">一、总则</w:t>
      </w:r>
      <w:bookmarkEnd w:id="32"/>
      <w:r>
        <w:rPr>
          <w:rFonts w:ascii="宋体" w:hAnsi="宋体" w:cs="宋体"/>
          <w:b/>
          <w:color w:val="000000"/>
          <w:sz w:val="24"/>
          <w:szCs w:val="28"/>
          <w:highlight w:val="none"/>
        </w:rPr>
      </w:r>
      <w:r/>
    </w:p>
    <w:p>
      <w:pPr>
        <w:pStyle w:val="1131"/>
        <w:ind w:right="142" w:firstLine="480"/>
        <w:spacing w:line="360" w:lineRule="auto"/>
        <w:rPr>
          <w:rFonts w:ascii="宋体" w:hAnsi="宋体"/>
          <w:b/>
          <w:color w:val="000000"/>
          <w:sz w:val="24"/>
          <w:szCs w:val="24"/>
          <w:highlight w:val="none"/>
        </w:rPr>
      </w:pPr>
      <w:r>
        <w:rPr>
          <w:rFonts w:hint="eastAsia" w:ascii="宋体" w:hAnsi="宋体"/>
          <w:color w:val="000000"/>
          <w:sz w:val="24"/>
          <w:szCs w:val="24"/>
          <w:highlight w:val="none"/>
        </w:rPr>
        <w:t xml:space="preserve">1.</w:t>
      </w:r>
      <w:r>
        <w:rPr>
          <w:rFonts w:hint="eastAsia" w:ascii="宋体" w:hAnsi="宋体"/>
          <w:b/>
          <w:color w:val="000000"/>
          <w:sz w:val="24"/>
          <w:szCs w:val="24"/>
          <w:highlight w:val="none"/>
        </w:rPr>
        <w:t xml:space="preserve">适用范围</w:t>
      </w:r>
      <w:r>
        <w:rPr>
          <w:rFonts w:ascii="宋体" w:hAnsi="宋体"/>
          <w:b/>
          <w:color w:val="000000"/>
          <w:sz w:val="24"/>
          <w:szCs w:val="24"/>
          <w:highlight w:val="none"/>
        </w:rPr>
      </w:r>
      <w:r/>
    </w:p>
    <w:p>
      <w:pPr>
        <w:pStyle w:val="113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1.1本招标文件仅适用于2025年镇江市丹徒区公路事业发展中心路网指挥中心改造项目。</w:t>
      </w:r>
      <w:r>
        <w:rPr>
          <w:rFonts w:ascii="宋体" w:hAnsi="宋体"/>
          <w:color w:val="000000"/>
          <w:sz w:val="24"/>
          <w:szCs w:val="24"/>
          <w:highlight w:val="none"/>
        </w:rPr>
      </w:r>
      <w:r/>
    </w:p>
    <w:p>
      <w:pPr>
        <w:pStyle w:val="1131"/>
        <w:ind w:right="142"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2.定义</w:t>
      </w:r>
      <w:r>
        <w:rPr>
          <w:rFonts w:ascii="宋体" w:hAnsi="宋体"/>
          <w:b/>
          <w:color w:val="000000"/>
          <w:sz w:val="24"/>
          <w:szCs w:val="24"/>
          <w:highlight w:val="none"/>
        </w:rPr>
      </w:r>
      <w:r/>
    </w:p>
    <w:p>
      <w:pPr>
        <w:pStyle w:val="1131"/>
        <w:ind w:right="142"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2.1“招标组织方”系指组织本次采购项目采购代理机构或采购单位。</w:t>
      </w:r>
      <w:r>
        <w:rPr>
          <w:rFonts w:ascii="宋体" w:hAnsi="宋体"/>
          <w:color w:val="000000"/>
          <w:sz w:val="24"/>
          <w:szCs w:val="24"/>
          <w:highlight w:val="none"/>
        </w:rPr>
      </w:r>
      <w:r/>
    </w:p>
    <w:p>
      <w:pPr>
        <w:pStyle w:val="113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2.2“投标人”系指参加投标的法人、其他组织或者自然人。 </w:t>
      </w:r>
      <w:r>
        <w:rPr>
          <w:rFonts w:ascii="宋体" w:hAnsi="宋体"/>
          <w:color w:val="000000"/>
          <w:sz w:val="24"/>
          <w:szCs w:val="24"/>
          <w:highlight w:val="none"/>
        </w:rPr>
      </w:r>
      <w:r/>
    </w:p>
    <w:p>
      <w:pPr>
        <w:pStyle w:val="113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2.3“采购人”系指依法进行政府采购的国家机关、事业单位、团体组织，即镇江市丹徒区公路事业发展中心。</w:t>
      </w:r>
      <w:r>
        <w:rPr>
          <w:rFonts w:ascii="宋体" w:hAnsi="宋体"/>
          <w:color w:val="000000"/>
          <w:sz w:val="24"/>
          <w:szCs w:val="24"/>
          <w:highlight w:val="none"/>
        </w:rPr>
      </w:r>
      <w:r/>
    </w:p>
    <w:p>
      <w:pPr>
        <w:pStyle w:val="1131"/>
        <w:ind w:right="142"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2.4“</w:t>
      </w:r>
      <w:r>
        <w:rPr>
          <w:rFonts w:hint="eastAsia" w:ascii="宋体" w:hAnsi="宋体"/>
          <w:color w:val="000000"/>
          <w:sz w:val="24"/>
          <w:szCs w:val="24"/>
          <w:highlight w:val="none"/>
          <w:lang w:eastAsia="zh-CN"/>
        </w:rPr>
        <w:t xml:space="preserve">服务</w:t>
      </w:r>
      <w:r>
        <w:rPr>
          <w:rFonts w:hint="eastAsia" w:ascii="宋体" w:hAnsi="宋体"/>
          <w:color w:val="000000"/>
          <w:sz w:val="24"/>
          <w:szCs w:val="24"/>
          <w:highlight w:val="none"/>
        </w:rPr>
        <w:t xml:space="preserve">”系指本招标文件采购需求中所述的</w:t>
      </w:r>
      <w:r>
        <w:rPr>
          <w:rFonts w:hint="eastAsia" w:ascii="宋体" w:hAnsi="宋体"/>
          <w:color w:val="000000"/>
          <w:sz w:val="24"/>
          <w:szCs w:val="24"/>
          <w:highlight w:val="none"/>
          <w:lang w:eastAsia="zh-CN"/>
        </w:rPr>
        <w:t xml:space="preserve">服务</w:t>
      </w:r>
      <w:r>
        <w:rPr>
          <w:rFonts w:hint="eastAsia" w:ascii="宋体" w:hAnsi="宋体"/>
          <w:color w:val="000000"/>
          <w:sz w:val="24"/>
          <w:szCs w:val="24"/>
          <w:highlight w:val="none"/>
        </w:rPr>
        <w:t xml:space="preserve">，即2025年镇江市丹徒区公路事业发展中心路网指挥中心改造项目。</w:t>
      </w:r>
      <w:r>
        <w:rPr>
          <w:rFonts w:ascii="宋体" w:hAnsi="宋体"/>
          <w:color w:val="000000"/>
          <w:sz w:val="24"/>
          <w:szCs w:val="24"/>
          <w:highlight w:val="none"/>
        </w:rPr>
      </w:r>
      <w:r/>
    </w:p>
    <w:p>
      <w:pPr>
        <w:pStyle w:val="1131"/>
        <w:ind w:right="142"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3.本次采购方式  </w:t>
      </w:r>
      <w:r>
        <w:rPr>
          <w:rFonts w:ascii="宋体" w:hAnsi="宋体"/>
          <w:b/>
          <w:color w:val="000000"/>
          <w:sz w:val="24"/>
          <w:szCs w:val="24"/>
          <w:highlight w:val="none"/>
        </w:rPr>
      </w:r>
      <w:r/>
    </w:p>
    <w:p>
      <w:pPr>
        <w:pStyle w:val="1131"/>
        <w:ind w:right="142"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3.1本次采购采取公开招标方式：综合评分法。 </w:t>
      </w:r>
      <w:r>
        <w:rPr>
          <w:rFonts w:ascii="宋体" w:hAnsi="宋体"/>
          <w:color w:val="000000"/>
          <w:sz w:val="24"/>
          <w:szCs w:val="24"/>
          <w:highlight w:val="none"/>
        </w:rPr>
      </w:r>
      <w:r/>
    </w:p>
    <w:p>
      <w:pPr>
        <w:pStyle w:val="1131"/>
        <w:ind w:right="142"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3.2</w:t>
      </w:r>
      <w:r>
        <w:rPr>
          <w:rFonts w:hint="eastAsia" w:ascii="宋体" w:hAnsi="宋体"/>
          <w:color w:val="000000"/>
          <w:sz w:val="24"/>
          <w:szCs w:val="24"/>
          <w:highlight w:val="none"/>
        </w:rPr>
        <w:t xml:space="preserve">是否接受进口产品：否</w:t>
      </w:r>
      <w:r>
        <w:rPr>
          <w:rFonts w:ascii="宋体" w:hAnsi="宋体"/>
          <w:color w:val="000000"/>
          <w:sz w:val="24"/>
          <w:szCs w:val="24"/>
          <w:highlight w:val="none"/>
        </w:rPr>
      </w:r>
      <w:r/>
    </w:p>
    <w:p>
      <w:pPr>
        <w:pStyle w:val="1131"/>
        <w:ind w:right="142"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3.3</w:t>
      </w:r>
      <w:r>
        <w:rPr>
          <w:rFonts w:hint="eastAsia" w:ascii="宋体" w:hAnsi="宋体"/>
          <w:color w:val="000000"/>
          <w:sz w:val="24"/>
          <w:szCs w:val="24"/>
          <w:highlight w:val="none"/>
        </w:rPr>
        <w:t xml:space="preserve">本项目资格审查方式：资格后审</w:t>
      </w:r>
      <w:r>
        <w:rPr>
          <w:rFonts w:ascii="宋体" w:hAnsi="宋体"/>
          <w:color w:val="000000"/>
          <w:sz w:val="24"/>
          <w:szCs w:val="24"/>
          <w:highlight w:val="none"/>
        </w:rPr>
      </w:r>
      <w:r/>
    </w:p>
    <w:p>
      <w:pPr>
        <w:pStyle w:val="1131"/>
        <w:ind w:right="142"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3.4 本次采购确定的成交人数量：1名  </w:t>
      </w:r>
      <w:r>
        <w:rPr>
          <w:rFonts w:ascii="宋体" w:hAnsi="宋体"/>
          <w:color w:val="000000"/>
          <w:sz w:val="24"/>
          <w:szCs w:val="24"/>
          <w:highlight w:val="none"/>
        </w:rPr>
      </w:r>
      <w:r/>
    </w:p>
    <w:p>
      <w:pPr>
        <w:pStyle w:val="1131"/>
        <w:ind w:right="142"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3.5本项目是否接受联合体：不接受。</w:t>
      </w:r>
      <w:r>
        <w:rPr>
          <w:rFonts w:ascii="宋体" w:hAnsi="宋体"/>
          <w:color w:val="000000"/>
          <w:sz w:val="24"/>
          <w:szCs w:val="24"/>
          <w:highlight w:val="none"/>
        </w:rPr>
      </w:r>
      <w:r/>
    </w:p>
    <w:p>
      <w:pPr>
        <w:pStyle w:val="1131"/>
        <w:ind w:right="142"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4.投标费用</w:t>
      </w:r>
      <w:r>
        <w:rPr>
          <w:rFonts w:ascii="宋体" w:hAnsi="宋体"/>
          <w:b/>
          <w:color w:val="000000"/>
          <w:sz w:val="24"/>
          <w:szCs w:val="24"/>
          <w:highlight w:val="none"/>
        </w:rPr>
      </w:r>
      <w:r/>
    </w:p>
    <w:p>
      <w:pPr>
        <w:pStyle w:val="1131"/>
        <w:ind w:firstLine="480"/>
        <w:spacing w:line="360" w:lineRule="auto"/>
        <w:rPr>
          <w:rFonts w:ascii="宋体" w:hAnsi="宋体"/>
          <w:b/>
          <w:color w:val="000000"/>
          <w:sz w:val="24"/>
          <w:highlight w:val="none"/>
        </w:rPr>
      </w:pPr>
      <w:r>
        <w:rPr>
          <w:rFonts w:hint="eastAsia" w:ascii="宋体" w:hAnsi="宋体"/>
          <w:color w:val="000000"/>
          <w:sz w:val="24"/>
          <w:highlight w:val="none"/>
        </w:rPr>
        <w:t xml:space="preserve">4.1 投标人应自行承担所有与参加投标有关的费用</w:t>
      </w:r>
      <w:r>
        <w:rPr>
          <w:rFonts w:hint="eastAsia" w:ascii="宋体" w:hAnsi="宋体"/>
          <w:b/>
          <w:color w:val="000000"/>
          <w:sz w:val="24"/>
          <w:highlight w:val="none"/>
        </w:rPr>
        <w:t xml:space="preserve">。</w:t>
      </w:r>
      <w:r>
        <w:rPr>
          <w:rFonts w:ascii="宋体" w:hAnsi="宋体"/>
          <w:b/>
          <w:color w:val="000000"/>
          <w:sz w:val="24"/>
          <w:highlight w:val="none"/>
        </w:rPr>
      </w:r>
      <w:r/>
    </w:p>
    <w:p>
      <w:pPr>
        <w:pStyle w:val="1131"/>
        <w:ind w:firstLine="950"/>
        <w:spacing w:line="360" w:lineRule="auto"/>
        <w:rPr>
          <w:rFonts w:ascii="宋体" w:hAnsi="宋体"/>
          <w:color w:val="000000"/>
          <w:sz w:val="24"/>
          <w:highlight w:val="none"/>
        </w:rPr>
      </w:pPr>
      <w:r>
        <w:rPr>
          <w:rFonts w:hint="eastAsia" w:ascii="宋体" w:hAnsi="宋体"/>
          <w:color w:val="000000"/>
          <w:sz w:val="24"/>
          <w:highlight w:val="none"/>
        </w:rPr>
        <w:t xml:space="preserve">中标人需向代理机构缴纳</w:t>
      </w:r>
      <w:r>
        <w:rPr>
          <w:rFonts w:hint="eastAsia" w:ascii="宋体" w:hAnsi="宋体"/>
          <w:color w:val="000000"/>
          <w:sz w:val="24"/>
          <w:highlight w:val="none"/>
          <w:lang w:eastAsia="zh-CN"/>
        </w:rPr>
        <w:t xml:space="preserve">壹万叁仟</w:t>
      </w:r>
      <w:r>
        <w:rPr>
          <w:rFonts w:hint="eastAsia" w:ascii="宋体" w:hAnsi="宋体"/>
          <w:color w:val="000000"/>
          <w:sz w:val="24"/>
          <w:highlight w:val="none"/>
        </w:rPr>
        <w:t xml:space="preserve">元服务费。</w:t>
      </w:r>
      <w:r>
        <w:rPr>
          <w:rFonts w:ascii="宋体" w:hAnsi="宋体"/>
          <w:color w:val="000000"/>
          <w:sz w:val="24"/>
          <w:highlight w:val="none"/>
        </w:rPr>
      </w:r>
      <w:r/>
    </w:p>
    <w:p>
      <w:pPr>
        <w:pStyle w:val="1131"/>
        <w:spacing w:line="360" w:lineRule="auto"/>
        <w:rPr>
          <w:rFonts w:ascii="宋体" w:hAnsi="宋体"/>
          <w:color w:val="000000"/>
          <w:sz w:val="24"/>
          <w:highlight w:val="none"/>
        </w:rPr>
      </w:pPr>
      <w:r>
        <w:rPr>
          <w:rFonts w:hint="eastAsia" w:ascii="宋体" w:hAnsi="宋体"/>
          <w:color w:val="000000"/>
          <w:sz w:val="24"/>
          <w:highlight w:val="none"/>
        </w:rPr>
        <w:t xml:space="preserve">代理费用收款信息：</w:t>
      </w:r>
      <w:bookmarkStart w:id="33" w:name="EB77141f0d5c9a4598b290d36854f2f9be"/>
      <w:r/>
      <w:bookmarkEnd w:id="33"/>
      <w:r>
        <w:rPr>
          <w:rFonts w:ascii="宋体" w:hAnsi="宋体"/>
          <w:color w:val="000000"/>
          <w:sz w:val="24"/>
          <w:highlight w:val="none"/>
        </w:rPr>
      </w:r>
      <w:r/>
    </w:p>
    <w:p>
      <w:pPr>
        <w:pStyle w:val="11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收款单位：大洲设计咨询集团有限公司常州分公司   </w:t>
      </w:r>
      <w:r>
        <w:rPr>
          <w:rFonts w:ascii="宋体" w:hAnsi="宋体"/>
          <w:color w:val="000000"/>
          <w:sz w:val="24"/>
          <w:highlight w:val="none"/>
        </w:rPr>
      </w:r>
      <w:r/>
    </w:p>
    <w:p>
      <w:pPr>
        <w:pStyle w:val="11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收款账号：4060 2010 0100 113269</w:t>
      </w:r>
      <w:r>
        <w:rPr>
          <w:rFonts w:ascii="宋体" w:hAnsi="宋体"/>
          <w:color w:val="000000"/>
          <w:sz w:val="24"/>
          <w:highlight w:val="none"/>
        </w:rPr>
      </w:r>
      <w:r/>
    </w:p>
    <w:p>
      <w:pPr>
        <w:pStyle w:val="11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开户银行：兴业银行常州武进支行</w:t>
      </w:r>
      <w:r>
        <w:rPr>
          <w:rFonts w:ascii="宋体" w:hAnsi="宋体"/>
          <w:color w:val="000000"/>
          <w:sz w:val="24"/>
          <w:highlight w:val="none"/>
        </w:rPr>
      </w:r>
      <w:r/>
    </w:p>
    <w:p>
      <w:pPr>
        <w:pStyle w:val="11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4.2不论投标的结果如何，招标组织方在任何情况下均无义务和责任承担上述费用。</w:t>
      </w:r>
      <w:r>
        <w:rPr>
          <w:rFonts w:ascii="宋体" w:hAnsi="宋体"/>
          <w:color w:val="000000"/>
          <w:sz w:val="24"/>
          <w:highlight w:val="none"/>
        </w:rPr>
      </w:r>
      <w:r/>
    </w:p>
    <w:p>
      <w:pPr>
        <w:pStyle w:val="1131"/>
        <w:ind w:right="142"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5.政策功能</w:t>
      </w:r>
      <w:r>
        <w:rPr>
          <w:rFonts w:ascii="宋体" w:hAnsi="宋体"/>
          <w:b/>
          <w:color w:val="000000"/>
          <w:sz w:val="24"/>
          <w:szCs w:val="24"/>
          <w:highlight w:val="none"/>
        </w:rPr>
      </w:r>
      <w:r/>
    </w:p>
    <w:p>
      <w:pPr>
        <w:pStyle w:val="1131"/>
        <w:ind w:firstLine="480"/>
        <w:rPr>
          <w:rFonts w:ascii="宋体" w:hAnsi="宋体"/>
          <w:color w:val="000000"/>
          <w:sz w:val="24"/>
          <w:szCs w:val="24"/>
          <w:highlight w:val="none"/>
        </w:rPr>
      </w:pPr>
      <w:r>
        <w:rPr>
          <w:rFonts w:hint="eastAsia" w:ascii="宋体" w:hAnsi="宋体"/>
          <w:color w:val="000000"/>
          <w:sz w:val="24"/>
          <w:szCs w:val="24"/>
          <w:highlight w:val="none"/>
        </w:rPr>
        <w:t xml:space="preserve">5.1支持中小企业发展</w:t>
      </w:r>
      <w:r>
        <w:rPr>
          <w:rFonts w:ascii="宋体" w:hAnsi="宋体"/>
          <w:color w:val="000000"/>
          <w:sz w:val="24"/>
          <w:szCs w:val="24"/>
          <w:highlight w:val="none"/>
        </w:rPr>
      </w:r>
      <w:r/>
    </w:p>
    <w:p>
      <w:pPr>
        <w:pStyle w:val="1131"/>
        <w:ind w:firstLine="480"/>
        <w:rPr>
          <w:rFonts w:ascii="宋体" w:hAnsi="宋体"/>
          <w:color w:val="000000"/>
          <w:sz w:val="24"/>
          <w:szCs w:val="24"/>
          <w:highlight w:val="none"/>
        </w:rPr>
      </w:pPr>
      <w:r>
        <w:rPr>
          <w:rFonts w:hint="eastAsia" w:ascii="宋体" w:hAnsi="宋体"/>
          <w:color w:val="000000"/>
          <w:sz w:val="24"/>
          <w:szCs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color w:val="000000"/>
          <w:sz w:val="24"/>
          <w:szCs w:val="24"/>
          <w:highlight w:val="none"/>
        </w:rPr>
      </w:r>
      <w:r/>
    </w:p>
    <w:p>
      <w:pPr>
        <w:pStyle w:val="1131"/>
        <w:ind w:firstLine="480"/>
        <w:rPr>
          <w:rFonts w:ascii="宋体" w:hAnsi="宋体"/>
          <w:color w:val="000000"/>
          <w:sz w:val="24"/>
          <w:szCs w:val="24"/>
          <w:highlight w:val="none"/>
        </w:rPr>
      </w:pPr>
      <w:r>
        <w:rPr>
          <w:rFonts w:hint="eastAsia" w:ascii="宋体" w:hAnsi="宋体"/>
          <w:color w:val="000000"/>
          <w:sz w:val="24"/>
          <w:szCs w:val="24"/>
          <w:highlight w:val="none"/>
        </w:rPr>
        <w:t xml:space="preserve">符合中小企业划分标准的个体工商户，在政府采购活动中视同中小企业。</w:t>
      </w:r>
      <w:r>
        <w:rPr>
          <w:rFonts w:ascii="宋体" w:hAnsi="宋体"/>
          <w:color w:val="000000"/>
          <w:sz w:val="24"/>
          <w:szCs w:val="24"/>
          <w:highlight w:val="none"/>
        </w:rPr>
      </w:r>
      <w:r/>
    </w:p>
    <w:p>
      <w:pPr>
        <w:pStyle w:val="1131"/>
        <w:ind w:firstLine="480"/>
        <w:rPr>
          <w:rFonts w:ascii="宋体" w:hAnsi="宋体"/>
          <w:color w:val="000000"/>
          <w:sz w:val="24"/>
          <w:szCs w:val="24"/>
          <w:highlight w:val="none"/>
        </w:rPr>
      </w:pPr>
      <w:r>
        <w:rPr>
          <w:rFonts w:hint="eastAsia" w:ascii="宋体" w:hAnsi="宋体"/>
          <w:color w:val="000000"/>
          <w:sz w:val="24"/>
          <w:szCs w:val="24"/>
          <w:highlight w:val="none"/>
        </w:rPr>
        <w:t xml:space="preserve">5.1.2在政府采购活动中，投标人提供的货物、工程或者服务符合下列情形的，享受中小企业扶持政策：</w:t>
      </w:r>
      <w:r>
        <w:rPr>
          <w:rFonts w:ascii="宋体" w:hAnsi="宋体"/>
          <w:color w:val="000000"/>
          <w:sz w:val="24"/>
          <w:szCs w:val="24"/>
          <w:highlight w:val="none"/>
        </w:rPr>
      </w:r>
      <w:r/>
    </w:p>
    <w:p>
      <w:pPr>
        <w:pStyle w:val="1131"/>
        <w:ind w:firstLine="480"/>
        <w:rPr>
          <w:rFonts w:ascii="宋体" w:hAnsi="宋体"/>
          <w:color w:val="000000"/>
          <w:sz w:val="24"/>
          <w:szCs w:val="24"/>
          <w:highlight w:val="none"/>
        </w:rPr>
      </w:pPr>
      <w:r>
        <w:rPr>
          <w:rFonts w:hint="eastAsia" w:ascii="宋体" w:hAnsi="宋体"/>
          <w:color w:val="000000"/>
          <w:sz w:val="24"/>
          <w:szCs w:val="24"/>
          <w:highlight w:val="none"/>
        </w:rPr>
        <w:t xml:space="preserve">5.1.2.1在货物采购项目中，货物由中小企业制造，即货物由中小企业生产且使用该中小企业商号或者注册商标；</w:t>
      </w:r>
      <w:r>
        <w:rPr>
          <w:rFonts w:ascii="宋体" w:hAnsi="宋体"/>
          <w:color w:val="000000"/>
          <w:sz w:val="24"/>
          <w:szCs w:val="24"/>
          <w:highlight w:val="none"/>
        </w:rPr>
      </w:r>
      <w:r/>
    </w:p>
    <w:p>
      <w:pPr>
        <w:pStyle w:val="1131"/>
        <w:ind w:firstLine="480"/>
        <w:rPr>
          <w:rFonts w:ascii="宋体" w:hAnsi="宋体"/>
          <w:color w:val="000000"/>
          <w:sz w:val="24"/>
          <w:szCs w:val="24"/>
          <w:highlight w:val="none"/>
        </w:rPr>
      </w:pPr>
      <w:r>
        <w:rPr>
          <w:rFonts w:hint="eastAsia" w:ascii="宋体" w:hAnsi="宋体"/>
          <w:color w:val="000000"/>
          <w:sz w:val="24"/>
          <w:szCs w:val="24"/>
          <w:highlight w:val="none"/>
        </w:rPr>
        <w:t xml:space="preserve">5.1.2.2在工程采购项目中，工程由中小企业承建，即工程施工单位为中小企业；</w:t>
      </w:r>
      <w:r>
        <w:rPr>
          <w:rFonts w:ascii="宋体" w:hAnsi="宋体"/>
          <w:color w:val="000000"/>
          <w:sz w:val="24"/>
          <w:szCs w:val="24"/>
          <w:highlight w:val="none"/>
        </w:rPr>
      </w:r>
      <w:r/>
    </w:p>
    <w:p>
      <w:pPr>
        <w:pStyle w:val="1131"/>
        <w:ind w:firstLine="480"/>
        <w:rPr>
          <w:rFonts w:ascii="宋体" w:hAnsi="宋体"/>
          <w:color w:val="000000"/>
          <w:sz w:val="24"/>
          <w:szCs w:val="24"/>
          <w:highlight w:val="none"/>
        </w:rPr>
      </w:pPr>
      <w:r>
        <w:rPr>
          <w:rFonts w:hint="eastAsia" w:ascii="宋体" w:hAnsi="宋体"/>
          <w:color w:val="000000"/>
          <w:sz w:val="24"/>
          <w:szCs w:val="24"/>
          <w:highlight w:val="none"/>
        </w:rPr>
        <w:t xml:space="preserve">5.1.2.3在服务采购项目中，服务由中小企业承接，即提供服务的人员为中小企业依照《中华人民共和国劳动合同法》订立劳动合同的从业人员。</w:t>
      </w:r>
      <w:r>
        <w:rPr>
          <w:rFonts w:ascii="宋体" w:hAnsi="宋体"/>
          <w:color w:val="000000"/>
          <w:sz w:val="24"/>
          <w:szCs w:val="24"/>
          <w:highlight w:val="none"/>
        </w:rPr>
      </w:r>
      <w:r/>
    </w:p>
    <w:p>
      <w:pPr>
        <w:pStyle w:val="1131"/>
        <w:ind w:firstLine="480"/>
        <w:rPr>
          <w:rFonts w:ascii="宋体" w:hAnsi="宋体"/>
          <w:color w:val="000000"/>
          <w:sz w:val="24"/>
          <w:szCs w:val="24"/>
          <w:highlight w:val="none"/>
        </w:rPr>
      </w:pPr>
      <w:r>
        <w:rPr>
          <w:rFonts w:hint="eastAsia" w:ascii="宋体" w:hAnsi="宋体"/>
          <w:color w:val="000000"/>
          <w:sz w:val="24"/>
          <w:szCs w:val="24"/>
          <w:highlight w:val="none"/>
        </w:rPr>
        <w:t xml:space="preserve">在货物采购项目中，投标人提供的货物既有中小企业制造货物，也有大型企业制造货物的，不享受中小企业扶持政策。</w:t>
      </w:r>
      <w:r>
        <w:rPr>
          <w:rFonts w:ascii="宋体" w:hAnsi="宋体"/>
          <w:color w:val="000000"/>
          <w:sz w:val="24"/>
          <w:szCs w:val="24"/>
          <w:highlight w:val="none"/>
        </w:rPr>
      </w:r>
      <w:r/>
    </w:p>
    <w:p>
      <w:pPr>
        <w:pStyle w:val="1131"/>
        <w:ind w:firstLine="480"/>
        <w:rPr>
          <w:rFonts w:ascii="宋体" w:hAnsi="宋体"/>
          <w:color w:val="000000"/>
          <w:sz w:val="24"/>
          <w:szCs w:val="24"/>
          <w:highlight w:val="none"/>
        </w:rPr>
      </w:pPr>
      <w:r>
        <w:rPr>
          <w:rFonts w:hint="eastAsia" w:ascii="宋体" w:hAnsi="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ascii="宋体" w:hAnsi="宋体"/>
          <w:color w:val="000000"/>
          <w:sz w:val="24"/>
          <w:szCs w:val="24"/>
          <w:highlight w:val="none"/>
        </w:rPr>
      </w:r>
      <w:r/>
    </w:p>
    <w:p>
      <w:pPr>
        <w:pStyle w:val="1131"/>
        <w:ind w:firstLine="480"/>
        <w:rPr>
          <w:rFonts w:ascii="宋体" w:hAnsi="宋体"/>
          <w:color w:val="000000"/>
          <w:sz w:val="24"/>
          <w:szCs w:val="24"/>
          <w:highlight w:val="none"/>
        </w:rPr>
      </w:pPr>
      <w:r>
        <w:rPr>
          <w:rFonts w:hint="eastAsia" w:ascii="宋体" w:hAnsi="宋体"/>
          <w:color w:val="000000"/>
          <w:sz w:val="24"/>
          <w:szCs w:val="24"/>
          <w:highlight w:val="none"/>
        </w:rPr>
        <w:t xml:space="preserve">5.1.3</w:t>
      </w:r>
      <w:r>
        <w:rPr>
          <w:rFonts w:hint="eastAsia" w:ascii="宋体" w:hAnsi="宋体"/>
          <w:color w:val="000000"/>
          <w:sz w:val="24"/>
          <w:szCs w:val="28"/>
          <w:highlight w:val="none"/>
        </w:rPr>
        <w:t xml:space="preserve">根据财政部、工业和信息化部关于印发《政府采购促进中小企业发展管理办法》的通知及工信部联企业[2011]300号《工业和信息化部、国家统计局、国家发展和改革委员会、财政部关于印发中小企业划型标准规定的通知》等的相关规定，本项目属于</w:t>
      </w:r>
      <w:r>
        <w:rPr>
          <w:rFonts w:hint="eastAsia" w:ascii="宋体" w:hAnsi="宋体"/>
          <w:color w:val="000000"/>
          <w:sz w:val="24"/>
          <w:szCs w:val="28"/>
          <w:highlight w:val="none"/>
          <w:lang w:eastAsia="zh-CN"/>
        </w:rPr>
        <w:t xml:space="preserve">服务</w:t>
      </w:r>
      <w:r>
        <w:rPr>
          <w:rFonts w:hint="eastAsia" w:ascii="宋体" w:hAnsi="宋体"/>
          <w:color w:val="000000"/>
          <w:sz w:val="24"/>
          <w:szCs w:val="28"/>
          <w:highlight w:val="none"/>
        </w:rPr>
        <w:t xml:space="preserve">类项目，采购标的对应的行业为：信息传输业。本项目不专门面向中小微企业，如果本项目的工程全部由小型或微型企业或视同小型和微型企业承接的，对其价格给予10%的调减，用调减后价格计算价格分。</w:t>
      </w:r>
      <w:r>
        <w:rPr>
          <w:rFonts w:ascii="宋体" w:hAnsi="宋体"/>
          <w:color w:val="000000"/>
          <w:sz w:val="24"/>
          <w:szCs w:val="24"/>
          <w:highlight w:val="none"/>
        </w:rPr>
      </w:r>
      <w:r/>
    </w:p>
    <w:p>
      <w:pPr>
        <w:pStyle w:val="1131"/>
        <w:ind w:firstLine="480"/>
        <w:rPr>
          <w:rFonts w:ascii="宋体" w:hAnsi="宋体"/>
          <w:color w:val="000000"/>
          <w:sz w:val="24"/>
          <w:szCs w:val="24"/>
          <w:highlight w:val="none"/>
        </w:rPr>
      </w:pPr>
      <w:r>
        <w:rPr>
          <w:rFonts w:hint="eastAsia" w:ascii="宋体" w:hAnsi="宋体"/>
          <w:color w:val="000000"/>
          <w:sz w:val="24"/>
          <w:szCs w:val="24"/>
          <w:highlight w:val="none"/>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ascii="宋体" w:hAnsi="宋体"/>
          <w:color w:val="000000"/>
          <w:sz w:val="24"/>
          <w:szCs w:val="24"/>
          <w:highlight w:val="none"/>
        </w:rPr>
      </w:r>
      <w:r/>
    </w:p>
    <w:p>
      <w:pPr>
        <w:pStyle w:val="1131"/>
        <w:ind w:firstLine="480"/>
        <w:rPr>
          <w:rFonts w:ascii="宋体" w:hAnsi="宋体"/>
          <w:color w:val="000000"/>
          <w:sz w:val="24"/>
          <w:szCs w:val="24"/>
          <w:highlight w:val="none"/>
        </w:rPr>
      </w:pPr>
      <w:r>
        <w:rPr>
          <w:rFonts w:hint="eastAsia" w:ascii="宋体" w:hAnsi="宋体"/>
          <w:color w:val="000000"/>
          <w:sz w:val="24"/>
          <w:szCs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ascii="宋体" w:hAnsi="宋体"/>
          <w:color w:val="000000"/>
          <w:sz w:val="24"/>
          <w:szCs w:val="24"/>
          <w:highlight w:val="none"/>
        </w:rPr>
      </w:r>
      <w:r/>
    </w:p>
    <w:p>
      <w:pPr>
        <w:pStyle w:val="1131"/>
        <w:ind w:firstLine="480"/>
        <w:rPr>
          <w:rFonts w:ascii="宋体" w:hAnsi="宋体"/>
          <w:color w:val="000000"/>
          <w:sz w:val="24"/>
          <w:szCs w:val="24"/>
          <w:highlight w:val="none"/>
        </w:rPr>
      </w:pPr>
      <w:r>
        <w:rPr>
          <w:rFonts w:hint="eastAsia" w:ascii="宋体" w:hAnsi="宋体"/>
          <w:color w:val="000000"/>
          <w:sz w:val="24"/>
          <w:szCs w:val="24"/>
          <w:highlight w:val="none"/>
        </w:rPr>
        <w:t xml:space="preserve">5.1.6中小企业享受扶持政策获得政府采购合同的，小微企业不得将合同分包给大中型企业，中型企业不得将合同分包给大型企业。</w:t>
      </w:r>
      <w:r>
        <w:rPr>
          <w:rFonts w:ascii="宋体" w:hAnsi="宋体"/>
          <w:color w:val="000000"/>
          <w:sz w:val="24"/>
          <w:szCs w:val="24"/>
          <w:highlight w:val="none"/>
        </w:rPr>
      </w:r>
      <w:r/>
    </w:p>
    <w:p>
      <w:pPr>
        <w:pStyle w:val="1131"/>
        <w:ind w:firstLine="480"/>
        <w:rPr>
          <w:rFonts w:ascii="宋体" w:hAnsi="宋体"/>
          <w:color w:val="000000"/>
          <w:sz w:val="24"/>
          <w:szCs w:val="24"/>
          <w:highlight w:val="none"/>
        </w:rPr>
      </w:pPr>
      <w:r>
        <w:rPr>
          <w:rFonts w:hint="eastAsia" w:ascii="宋体" w:hAnsi="宋体"/>
          <w:color w:val="000000"/>
          <w:sz w:val="24"/>
          <w:szCs w:val="24"/>
          <w:highlight w:val="none"/>
        </w:rPr>
        <w:t xml:space="preserve">5.2强制采购信息安全产品</w:t>
      </w:r>
      <w:r>
        <w:rPr>
          <w:rFonts w:ascii="宋体" w:hAnsi="宋体"/>
          <w:color w:val="000000"/>
          <w:sz w:val="24"/>
          <w:szCs w:val="24"/>
          <w:highlight w:val="none"/>
        </w:rPr>
      </w:r>
      <w:r/>
    </w:p>
    <w:p>
      <w:pPr>
        <w:pStyle w:val="1131"/>
        <w:ind w:firstLine="480"/>
        <w:rPr>
          <w:rFonts w:ascii="宋体" w:hAnsi="宋体"/>
          <w:color w:val="000000"/>
          <w:sz w:val="24"/>
          <w:szCs w:val="24"/>
          <w:highlight w:val="none"/>
        </w:rPr>
      </w:pPr>
      <w:r>
        <w:rPr>
          <w:rFonts w:hint="eastAsia" w:ascii="宋体" w:hAnsi="宋体"/>
          <w:color w:val="000000"/>
          <w:sz w:val="24"/>
          <w:szCs w:val="24"/>
          <w:highlight w:val="none"/>
        </w:rPr>
        <w:t xml:space="preserve">信息安全产品指国家质检总局国家认监委《信息安全产品强制性认证目录》，并获得强制性产品认证证书的产品。</w:t>
      </w:r>
      <w:r>
        <w:rPr>
          <w:rFonts w:ascii="宋体" w:hAnsi="宋体"/>
          <w:color w:val="000000"/>
          <w:sz w:val="24"/>
          <w:szCs w:val="24"/>
          <w:highlight w:val="none"/>
        </w:rPr>
      </w:r>
      <w:r/>
    </w:p>
    <w:p>
      <w:pPr>
        <w:pStyle w:val="1131"/>
        <w:ind w:firstLine="480"/>
        <w:rPr>
          <w:rFonts w:ascii="宋体" w:hAnsi="宋体"/>
          <w:color w:val="000000"/>
          <w:sz w:val="24"/>
          <w:szCs w:val="24"/>
          <w:highlight w:val="none"/>
        </w:rPr>
      </w:pPr>
      <w:r>
        <w:rPr>
          <w:rFonts w:hint="eastAsia" w:ascii="宋体" w:hAnsi="宋体"/>
          <w:color w:val="000000"/>
          <w:sz w:val="24"/>
          <w:szCs w:val="24"/>
          <w:highlight w:val="none"/>
        </w:rPr>
        <w:t xml:space="preserve">5.3支持绿色发展</w:t>
      </w:r>
      <w:r>
        <w:rPr>
          <w:rFonts w:ascii="宋体" w:hAnsi="宋体"/>
          <w:color w:val="000000"/>
          <w:sz w:val="24"/>
          <w:szCs w:val="24"/>
          <w:highlight w:val="none"/>
        </w:rPr>
      </w:r>
      <w:r/>
    </w:p>
    <w:p>
      <w:pPr>
        <w:pStyle w:val="1131"/>
        <w:ind w:firstLine="480"/>
        <w:rPr>
          <w:rFonts w:ascii="宋体" w:hAnsi="宋体"/>
          <w:color w:val="000000"/>
          <w:sz w:val="24"/>
          <w:szCs w:val="24"/>
          <w:highlight w:val="none"/>
        </w:rPr>
      </w:pPr>
      <w:r>
        <w:rPr>
          <w:rFonts w:hint="eastAsia" w:ascii="宋体" w:hAnsi="宋体"/>
          <w:color w:val="000000"/>
          <w:sz w:val="24"/>
          <w:szCs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投标人所投产品属于品目清单范围的，依据国家确定的认证机构出具的、处于有效期之内的节能产品、环境标志产品认证证书，对获得证书的产品实施政府优先采购或强制采购。</w:t>
      </w:r>
      <w:r>
        <w:rPr>
          <w:rFonts w:ascii="宋体" w:hAnsi="宋体"/>
          <w:color w:val="000000"/>
          <w:sz w:val="24"/>
          <w:szCs w:val="24"/>
          <w:highlight w:val="none"/>
        </w:rPr>
      </w:r>
      <w:r/>
    </w:p>
    <w:p>
      <w:pPr>
        <w:pStyle w:val="1131"/>
        <w:ind w:firstLine="480"/>
        <w:rPr>
          <w:rFonts w:ascii="宋体" w:hAnsi="宋体"/>
          <w:color w:val="000000"/>
          <w:sz w:val="24"/>
          <w:szCs w:val="24"/>
          <w:highlight w:val="none"/>
        </w:rPr>
      </w:pPr>
      <w:r>
        <w:rPr>
          <w:rFonts w:hint="eastAsia" w:ascii="宋体" w:hAnsi="宋体"/>
          <w:color w:val="000000"/>
          <w:sz w:val="24"/>
          <w:szCs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rPr>
          <w:rFonts w:ascii="宋体" w:hAnsi="宋体"/>
          <w:color w:val="000000"/>
          <w:sz w:val="24"/>
          <w:szCs w:val="24"/>
          <w:highlight w:val="none"/>
        </w:rPr>
      </w:r>
      <w:r/>
    </w:p>
    <w:p>
      <w:pPr>
        <w:pStyle w:val="1131"/>
        <w:ind w:firstLine="480"/>
        <w:rPr>
          <w:rFonts w:ascii="宋体" w:hAnsi="宋体"/>
          <w:color w:val="000000"/>
          <w:sz w:val="24"/>
          <w:szCs w:val="24"/>
          <w:highlight w:val="none"/>
        </w:rPr>
      </w:pPr>
      <w:r>
        <w:rPr>
          <w:rFonts w:hint="eastAsia" w:ascii="宋体" w:hAnsi="宋体"/>
          <w:color w:val="000000"/>
          <w:sz w:val="24"/>
          <w:szCs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ascii="宋体" w:hAnsi="宋体"/>
          <w:color w:val="000000"/>
          <w:sz w:val="24"/>
          <w:szCs w:val="24"/>
          <w:highlight w:val="none"/>
        </w:rPr>
      </w:r>
      <w:r/>
    </w:p>
    <w:p>
      <w:pPr>
        <w:pStyle w:val="1131"/>
        <w:ind w:firstLine="480"/>
        <w:rPr>
          <w:rFonts w:ascii="宋体" w:hAnsi="宋体"/>
          <w:color w:val="000000"/>
          <w:sz w:val="24"/>
          <w:szCs w:val="24"/>
          <w:highlight w:val="none"/>
        </w:rPr>
      </w:pPr>
      <w:r>
        <w:rPr>
          <w:rFonts w:hint="eastAsia" w:ascii="宋体" w:hAnsi="宋体"/>
          <w:color w:val="000000"/>
          <w:sz w:val="24"/>
          <w:szCs w:val="24"/>
          <w:highlight w:val="none"/>
        </w:rPr>
        <w:t xml:space="preserve">5.3.4采购人采购数据中心相关设备、运维服务，按照《绿色数据中心政府采购需求标准（试行）》实施相关采购活动。</w:t>
      </w:r>
      <w:r>
        <w:rPr>
          <w:rFonts w:ascii="宋体" w:hAnsi="宋体"/>
          <w:color w:val="000000"/>
          <w:sz w:val="24"/>
          <w:szCs w:val="24"/>
          <w:highlight w:val="none"/>
        </w:rPr>
      </w:r>
      <w:r/>
    </w:p>
    <w:p>
      <w:pPr>
        <w:pStyle w:val="1131"/>
        <w:ind w:firstLine="480"/>
        <w:rPr>
          <w:rFonts w:ascii="宋体" w:hAnsi="宋体"/>
          <w:color w:val="000000"/>
          <w:sz w:val="24"/>
          <w:szCs w:val="24"/>
          <w:highlight w:val="none"/>
        </w:rPr>
      </w:pPr>
      <w:r>
        <w:rPr>
          <w:rFonts w:hint="eastAsia" w:ascii="宋体" w:hAnsi="宋体"/>
          <w:color w:val="000000"/>
          <w:sz w:val="24"/>
          <w:szCs w:val="24"/>
          <w:highlight w:val="none"/>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rPr>
          <w:rFonts w:ascii="宋体" w:hAnsi="宋体"/>
          <w:color w:val="000000"/>
          <w:sz w:val="24"/>
          <w:szCs w:val="24"/>
          <w:highlight w:val="none"/>
        </w:rPr>
      </w:r>
      <w:r/>
    </w:p>
    <w:p>
      <w:pPr>
        <w:pStyle w:val="1131"/>
        <w:ind w:firstLine="480"/>
        <w:rPr>
          <w:rFonts w:ascii="宋体" w:hAnsi="宋体"/>
          <w:color w:val="000000"/>
          <w:sz w:val="24"/>
          <w:szCs w:val="24"/>
          <w:highlight w:val="none"/>
        </w:rPr>
      </w:pPr>
      <w:r>
        <w:rPr>
          <w:rFonts w:hint="eastAsia" w:ascii="宋体" w:hAnsi="宋体"/>
          <w:color w:val="000000"/>
          <w:sz w:val="24"/>
          <w:szCs w:val="24"/>
          <w:highlight w:val="none"/>
        </w:rPr>
        <w:t xml:space="preserve">5.5支持创新发展</w:t>
      </w:r>
      <w:r>
        <w:rPr>
          <w:rFonts w:ascii="宋体" w:hAnsi="宋体"/>
          <w:color w:val="000000"/>
          <w:sz w:val="24"/>
          <w:szCs w:val="24"/>
          <w:highlight w:val="none"/>
        </w:rPr>
      </w:r>
      <w:r/>
    </w:p>
    <w:p>
      <w:pPr>
        <w:pStyle w:val="1131"/>
        <w:ind w:firstLine="480"/>
        <w:rPr>
          <w:rFonts w:ascii="宋体" w:hAnsi="宋体"/>
          <w:color w:val="000000"/>
          <w:sz w:val="24"/>
          <w:szCs w:val="24"/>
          <w:highlight w:val="none"/>
        </w:rPr>
      </w:pPr>
      <w:r>
        <w:rPr>
          <w:rFonts w:hint="eastAsia" w:ascii="宋体" w:hAnsi="宋体"/>
          <w:color w:val="000000"/>
          <w:sz w:val="24"/>
          <w:szCs w:val="24"/>
          <w:highlight w:val="none"/>
        </w:rPr>
        <w:t xml:space="preserve">5.5.1采购人优先采购被认定为重点推广应用、首台（套）重大装备、重点领域首版次软件的自主创新产品。</w:t>
      </w:r>
      <w:r>
        <w:rPr>
          <w:rFonts w:ascii="宋体" w:hAnsi="宋体"/>
          <w:color w:val="000000"/>
          <w:sz w:val="24"/>
          <w:szCs w:val="24"/>
          <w:highlight w:val="none"/>
        </w:rPr>
      </w:r>
      <w:r/>
    </w:p>
    <w:p>
      <w:pPr>
        <w:pStyle w:val="1131"/>
        <w:ind w:firstLine="480"/>
        <w:rPr>
          <w:rFonts w:ascii="宋体" w:hAnsi="宋体"/>
          <w:color w:val="000000"/>
          <w:sz w:val="24"/>
          <w:szCs w:val="24"/>
          <w:highlight w:val="none"/>
        </w:rPr>
      </w:pPr>
      <w:r>
        <w:rPr>
          <w:rFonts w:hint="eastAsia" w:ascii="宋体" w:hAnsi="宋体"/>
          <w:color w:val="000000"/>
          <w:sz w:val="24"/>
          <w:szCs w:val="24"/>
          <w:highlight w:val="none"/>
        </w:rPr>
        <w:t xml:space="preserve">5.6平等对待内外资企业和符合条件的破产重整企业</w:t>
      </w:r>
      <w:r>
        <w:rPr>
          <w:rFonts w:ascii="宋体" w:hAnsi="宋体"/>
          <w:color w:val="000000"/>
          <w:sz w:val="24"/>
          <w:szCs w:val="24"/>
          <w:highlight w:val="none"/>
        </w:rPr>
      </w:r>
      <w:r/>
    </w:p>
    <w:p>
      <w:pPr>
        <w:pStyle w:val="1131"/>
        <w:ind w:firstLine="480"/>
        <w:rPr>
          <w:rFonts w:ascii="宋体" w:hAnsi="宋体"/>
          <w:color w:val="000000"/>
          <w:sz w:val="24"/>
          <w:szCs w:val="24"/>
          <w:highlight w:val="none"/>
        </w:rPr>
      </w:pPr>
      <w:r>
        <w:rPr>
          <w:rFonts w:hint="eastAsia" w:ascii="宋体" w:hAnsi="宋体"/>
          <w:color w:val="000000"/>
          <w:sz w:val="24"/>
          <w:szCs w:val="24"/>
          <w:highlight w:val="none"/>
        </w:rPr>
        <w:t xml:space="preserve">5.6.1平等对待内外资企业和符合条件的破产重整企业，切实保障企业公平竞争，平等维护企业的合法利益。</w:t>
      </w:r>
      <w:r>
        <w:rPr>
          <w:rFonts w:ascii="宋体" w:hAnsi="宋体"/>
          <w:color w:val="000000"/>
          <w:sz w:val="24"/>
          <w:szCs w:val="24"/>
          <w:highlight w:val="none"/>
        </w:rPr>
      </w:r>
      <w:r/>
    </w:p>
    <w:p>
      <w:pPr>
        <w:pStyle w:val="1131"/>
        <w:ind w:firstLine="480"/>
        <w:rPr>
          <w:rFonts w:ascii="宋体" w:hAnsi="宋体"/>
          <w:color w:val="000000"/>
          <w:sz w:val="24"/>
          <w:szCs w:val="24"/>
          <w:highlight w:val="none"/>
        </w:rPr>
      </w:pPr>
      <w:r>
        <w:rPr>
          <w:rFonts w:hint="eastAsia" w:ascii="宋体" w:hAnsi="宋体"/>
          <w:color w:val="000000"/>
          <w:sz w:val="24"/>
          <w:szCs w:val="24"/>
          <w:highlight w:val="none"/>
        </w:rPr>
        <w:t xml:space="preserve">5.7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rPr>
          <w:rFonts w:ascii="宋体" w:hAnsi="宋体"/>
          <w:color w:val="000000"/>
          <w:sz w:val="24"/>
          <w:szCs w:val="24"/>
          <w:highlight w:val="none"/>
        </w:rPr>
      </w:r>
      <w:r/>
    </w:p>
    <w:p>
      <w:pPr>
        <w:pStyle w:val="1131"/>
        <w:rPr>
          <w:color w:val="000000"/>
          <w:sz w:val="20"/>
          <w:highlight w:val="none"/>
        </w:rPr>
      </w:pPr>
      <w:r>
        <w:rPr>
          <w:color w:val="000000"/>
          <w:sz w:val="20"/>
          <w:highlight w:val="none"/>
        </w:rPr>
      </w:r>
      <w:r/>
    </w:p>
    <w:p>
      <w:pPr>
        <w:pStyle w:val="1333"/>
        <w:spacing w:before="0" w:after="0" w:line="360" w:lineRule="auto"/>
        <w:rPr>
          <w:rFonts w:ascii="宋体" w:hAnsi="宋体" w:eastAsia="宋体" w:cs="宋体"/>
          <w:color w:val="000000"/>
          <w:sz w:val="32"/>
          <w:highlight w:val="none"/>
        </w:rPr>
      </w:pPr>
      <w:r/>
      <w:bookmarkStart w:id="34" w:name="_Toc73364860"/>
      <w:r/>
      <w:bookmarkStart w:id="35" w:name="_Toc73365473"/>
      <w:r/>
      <w:bookmarkStart w:id="36" w:name="_Toc142925626"/>
      <w:r/>
      <w:bookmarkStart w:id="37" w:name="EBbd6b51237050475882ef42e226642b38"/>
      <w:r>
        <w:rPr>
          <w:rFonts w:hint="eastAsia" w:ascii="宋体" w:hAnsi="宋体" w:eastAsia="宋体" w:cs="宋体"/>
          <w:color w:val="000000"/>
          <w:sz w:val="32"/>
          <w:highlight w:val="none"/>
        </w:rPr>
        <w:t xml:space="preserve">二、招标文件</w:t>
      </w:r>
      <w:bookmarkEnd w:id="34"/>
      <w:r/>
      <w:bookmarkEnd w:id="35"/>
      <w:r/>
      <w:bookmarkEnd w:id="36"/>
      <w:r>
        <w:rPr>
          <w:rFonts w:ascii="宋体" w:hAnsi="宋体" w:eastAsia="宋体" w:cs="宋体"/>
          <w:color w:val="000000"/>
          <w:sz w:val="32"/>
          <w:highlight w:val="none"/>
        </w:rPr>
      </w:r>
      <w:r/>
    </w:p>
    <w:p>
      <w:pPr>
        <w:pStyle w:val="1698"/>
        <w:ind w:firstLine="602"/>
        <w:keepLines w:val="0"/>
        <w:keepNext w:val="0"/>
        <w:spacing w:before="0" w:after="0" w:line="360" w:lineRule="auto"/>
        <w:rPr>
          <w:rFonts w:ascii="宋体" w:hAnsi="宋体" w:cs="宋体"/>
          <w:color w:val="000000"/>
          <w:sz w:val="30"/>
          <w:highlight w:val="none"/>
        </w:rPr>
      </w:pPr>
      <w:r/>
      <w:bookmarkStart w:id="38" w:name="_Toc73365474"/>
      <w:r/>
      <w:bookmarkStart w:id="39" w:name="_Toc73364861"/>
      <w:r/>
      <w:bookmarkStart w:id="40" w:name="_Toc142925627"/>
      <w:r>
        <w:rPr>
          <w:rFonts w:hint="eastAsia" w:ascii="宋体" w:hAnsi="宋体" w:cs="宋体"/>
          <w:color w:val="000000"/>
          <w:sz w:val="30"/>
          <w:highlight w:val="none"/>
        </w:rPr>
        <w:t xml:space="preserve">6．招标文件组成</w:t>
      </w:r>
      <w:bookmarkEnd w:id="38"/>
      <w:r/>
      <w:bookmarkEnd w:id="39"/>
      <w:r/>
      <w:bookmarkEnd w:id="40"/>
      <w:r>
        <w:rPr>
          <w:rFonts w:ascii="宋体" w:hAnsi="宋体" w:cs="宋体"/>
          <w:color w:val="000000"/>
          <w:sz w:val="30"/>
          <w:highlight w:val="none"/>
        </w:rPr>
      </w:r>
      <w:r/>
    </w:p>
    <w:p>
      <w:pPr>
        <w:pStyle w:val="11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6.1招标文件包括：</w:t>
      </w:r>
      <w:r>
        <w:rPr>
          <w:rFonts w:ascii="宋体" w:hAnsi="宋体" w:cs="宋体"/>
          <w:color w:val="000000"/>
          <w:sz w:val="24"/>
          <w:highlight w:val="none"/>
        </w:rPr>
      </w:r>
      <w:r/>
    </w:p>
    <w:p>
      <w:pPr>
        <w:pStyle w:val="11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（1）投标邀请</w:t>
      </w:r>
      <w:r>
        <w:rPr>
          <w:rFonts w:ascii="宋体" w:hAnsi="宋体" w:cs="宋体"/>
          <w:color w:val="000000"/>
          <w:sz w:val="24"/>
          <w:highlight w:val="none"/>
        </w:rPr>
      </w:r>
      <w:r/>
    </w:p>
    <w:p>
      <w:pPr>
        <w:pStyle w:val="11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（2）投标人须知</w:t>
      </w:r>
      <w:r>
        <w:rPr>
          <w:rFonts w:ascii="宋体" w:hAnsi="宋体" w:cs="宋体"/>
          <w:color w:val="000000"/>
          <w:sz w:val="24"/>
          <w:highlight w:val="none"/>
        </w:rPr>
      </w:r>
      <w:r/>
    </w:p>
    <w:p>
      <w:pPr>
        <w:pStyle w:val="11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（3）合同</w:t>
      </w:r>
      <w:r>
        <w:rPr>
          <w:rFonts w:ascii="宋体" w:hAnsi="宋体" w:cs="宋体"/>
          <w:color w:val="000000"/>
          <w:sz w:val="24"/>
          <w:highlight w:val="none"/>
        </w:rPr>
      </w:r>
      <w:r/>
    </w:p>
    <w:p>
      <w:pPr>
        <w:pStyle w:val="11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（4）采购需求</w:t>
      </w:r>
      <w:r>
        <w:rPr>
          <w:rFonts w:ascii="宋体" w:hAnsi="宋体" w:cs="宋体"/>
          <w:color w:val="000000"/>
          <w:sz w:val="24"/>
          <w:highlight w:val="none"/>
        </w:rPr>
      </w:r>
      <w:r/>
    </w:p>
    <w:p>
      <w:pPr>
        <w:pStyle w:val="11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（5）评审办法和标准</w:t>
      </w:r>
      <w:r>
        <w:rPr>
          <w:rFonts w:ascii="宋体" w:hAnsi="宋体" w:cs="宋体"/>
          <w:color w:val="000000"/>
          <w:sz w:val="24"/>
          <w:highlight w:val="none"/>
        </w:rPr>
      </w:r>
      <w:r/>
    </w:p>
    <w:p>
      <w:pPr>
        <w:pStyle w:val="11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（6）投标文件（格式）</w:t>
      </w:r>
      <w:r>
        <w:rPr>
          <w:rFonts w:ascii="宋体" w:hAnsi="宋体" w:cs="宋体"/>
          <w:color w:val="000000"/>
          <w:sz w:val="24"/>
          <w:highlight w:val="none"/>
        </w:rPr>
      </w:r>
      <w:r/>
    </w:p>
    <w:p>
      <w:pPr>
        <w:pStyle w:val="11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6.2投标人获取本文件后，应认真阅读本文件中所有的事项、格式条款和规范等要求。</w:t>
      </w:r>
      <w:r>
        <w:rPr>
          <w:rFonts w:ascii="宋体" w:hAnsi="宋体" w:cs="宋体"/>
          <w:color w:val="000000"/>
          <w:sz w:val="24"/>
          <w:highlight w:val="none"/>
        </w:rPr>
      </w:r>
      <w:r/>
    </w:p>
    <w:p>
      <w:pPr>
        <w:pStyle w:val="11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6.3</w:t>
      </w:r>
      <w:r>
        <w:rPr>
          <w:rFonts w:hint="eastAsia" w:ascii="宋体" w:hAnsi="宋体" w:cs="宋体"/>
          <w:b/>
          <w:color w:val="000000"/>
          <w:sz w:val="24"/>
          <w:highlight w:val="none"/>
          <w:u w:val="single"/>
        </w:rPr>
        <w:t xml:space="preserve">除非有特殊要求，招标文件不单独提供标的所在地自然环境、气象条件、公用设施等情况，投标人被视为熟悉上述与签订和履行合同有关的一切情况</w:t>
      </w:r>
      <w:r>
        <w:rPr>
          <w:rFonts w:hint="eastAsia" w:ascii="宋体" w:hAnsi="宋体" w:cs="宋体"/>
          <w:b/>
          <w:color w:val="000000"/>
          <w:sz w:val="24"/>
          <w:highlight w:val="none"/>
        </w:rPr>
        <w:t xml:space="preserve">。</w:t>
      </w:r>
      <w:r>
        <w:rPr>
          <w:rFonts w:ascii="宋体" w:hAnsi="宋体" w:cs="宋体"/>
          <w:color w:val="000000"/>
          <w:sz w:val="24"/>
          <w:highlight w:val="none"/>
        </w:rPr>
      </w:r>
      <w:r/>
    </w:p>
    <w:p>
      <w:pPr>
        <w:pStyle w:val="1337"/>
        <w:ind w:firstLine="446"/>
        <w:keepLines w:val="0"/>
        <w:keepNext w:val="0"/>
        <w:spacing w:before="200" w:after="200" w:line="360" w:lineRule="auto"/>
        <w:rPr>
          <w:color w:val="000000"/>
          <w:sz w:val="30"/>
          <w:highlight w:val="none"/>
        </w:rPr>
      </w:pPr>
      <w:r/>
      <w:bookmarkStart w:id="41" w:name="_Toc256000018"/>
      <w:r/>
      <w:bookmarkStart w:id="42" w:name="_Toc76632884"/>
      <w:r>
        <w:rPr>
          <w:rFonts w:hint="eastAsia"/>
          <w:color w:val="000000"/>
          <w:sz w:val="30"/>
          <w:highlight w:val="none"/>
        </w:rPr>
        <w:t xml:space="preserve">7．招标文件的澄清和修改</w:t>
      </w:r>
      <w:bookmarkEnd w:id="41"/>
      <w:r/>
      <w:bookmarkEnd w:id="42"/>
      <w:r>
        <w:rPr>
          <w:color w:val="000000"/>
          <w:sz w:val="30"/>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7.1任何要求对招标文件进行澄清的潜在投标人，应及时联系项目联系人。</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7.2</w:t>
      </w:r>
      <w:r>
        <w:rPr>
          <w:rFonts w:hint="eastAsia"/>
          <w:b/>
          <w:color w:val="000000"/>
          <w:sz w:val="24"/>
          <w:szCs w:val="24"/>
          <w:highlight w:val="none"/>
        </w:rPr>
        <w:t xml:space="preserve">按照权责相一致原则，投标人提出的对于招标文件主要商务、技术指标的相关澄清、修改要求，由采购人负责答复并视情况作出澄清或修改的决定。</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7.3采购人或者采购代理机构可以对已发出的招标文件、资格预审文件、投标邀请书进行必要的澄清或者修改，但不改变采购标的和资格要求。澄清或者修改将在</w:t>
      </w:r>
      <w:r>
        <w:rPr>
          <w:rFonts w:hint="eastAsia" w:cs="宋体"/>
          <w:color w:val="000000"/>
          <w:sz w:val="24"/>
          <w:szCs w:val="24"/>
          <w:highlight w:val="none"/>
        </w:rPr>
        <w:t xml:space="preserve">“苏采云”系统（网址：http://jszfcg.jsczt.cn/）</w:t>
      </w:r>
      <w:r>
        <w:rPr>
          <w:rFonts w:hint="eastAsia"/>
          <w:color w:val="000000"/>
          <w:sz w:val="24"/>
          <w:szCs w:val="24"/>
          <w:highlight w:val="none"/>
        </w:rPr>
        <w:t xml:space="preserve">网站上发布澄清公告，澄清或者修改的内容为招标文件、资格预审文件、投标邀请书的组成部分。</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7.4</w:t>
      </w:r>
      <w:r>
        <w:rPr>
          <w:rFonts w:hint="eastAsia"/>
          <w:b/>
          <w:bCs/>
          <w:color w:val="000000"/>
          <w:sz w:val="24"/>
          <w:szCs w:val="24"/>
          <w:highlight w:val="none"/>
          <w:u w:val="single"/>
        </w:rPr>
        <w:t xml:space="preserve">请各投标人及时关注和查看“江苏政府采购网”是否有更正公告。因投标人自身原因未能及时获取的，一切后果由投标人自行承担。</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7.5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rPr>
          <w:color w:val="000000"/>
          <w:sz w:val="24"/>
          <w:szCs w:val="24"/>
          <w:highlight w:val="none"/>
        </w:rPr>
      </w:r>
      <w:r/>
    </w:p>
    <w:p>
      <w:pPr>
        <w:pStyle w:val="1131"/>
        <w:ind w:firstLine="480"/>
        <w:spacing w:line="360" w:lineRule="auto"/>
        <w:rPr>
          <w:b/>
          <w:color w:val="000000"/>
          <w:sz w:val="24"/>
          <w:szCs w:val="24"/>
          <w:highlight w:val="none"/>
        </w:rPr>
      </w:pPr>
      <w:r>
        <w:rPr>
          <w:rFonts w:hint="eastAsia"/>
          <w:color w:val="000000"/>
          <w:sz w:val="24"/>
          <w:szCs w:val="24"/>
          <w:highlight w:val="none"/>
        </w:rPr>
        <w:t xml:space="preserve">7.6</w:t>
      </w:r>
      <w:r>
        <w:rPr>
          <w:rFonts w:hint="eastAsia"/>
          <w:b/>
          <w:color w:val="000000"/>
          <w:sz w:val="24"/>
          <w:szCs w:val="24"/>
          <w:highlight w:val="none"/>
          <w:u w:val="single"/>
        </w:rPr>
        <w:t xml:space="preserve">如澄清或修改公告有重新发布招标文件的，投标人应下载最新发布的招标文件制作投标文件。</w:t>
      </w:r>
      <w:r>
        <w:rPr>
          <w:b/>
          <w:color w:val="000000"/>
          <w:sz w:val="24"/>
          <w:szCs w:val="24"/>
          <w:highlight w:val="none"/>
          <w:u w:val="single"/>
        </w:rPr>
        <w:t xml:space="preserve">因投标人自身原因未能及时获取的</w:t>
      </w:r>
      <w:r>
        <w:rPr>
          <w:rFonts w:hint="eastAsia"/>
          <w:b/>
          <w:color w:val="000000"/>
          <w:sz w:val="24"/>
          <w:szCs w:val="24"/>
          <w:highlight w:val="none"/>
          <w:u w:val="single"/>
        </w:rPr>
        <w:t xml:space="preserve">，一切后果由投标人自行承担。</w:t>
      </w:r>
      <w:r>
        <w:rPr>
          <w:b/>
          <w:color w:val="000000"/>
          <w:sz w:val="24"/>
          <w:szCs w:val="24"/>
          <w:highlight w:val="none"/>
        </w:rPr>
      </w:r>
      <w:r/>
    </w:p>
    <w:p>
      <w:pPr>
        <w:pStyle w:val="1131"/>
        <w:ind w:firstLine="480"/>
        <w:spacing w:line="360" w:lineRule="auto"/>
        <w:rPr>
          <w:color w:val="000000"/>
          <w:sz w:val="24"/>
          <w:szCs w:val="24"/>
          <w:highlight w:val="none"/>
        </w:rPr>
      </w:pPr>
      <w:r>
        <w:rPr>
          <w:color w:val="000000"/>
          <w:sz w:val="24"/>
          <w:szCs w:val="24"/>
          <w:highlight w:val="none"/>
        </w:rPr>
      </w:r>
      <w:r/>
    </w:p>
    <w:p>
      <w:pPr>
        <w:pStyle w:val="1699"/>
        <w:jc w:val="center"/>
        <w:tabs>
          <w:tab w:val="left" w:pos="567" w:leader="none"/>
        </w:tabs>
        <w:rPr>
          <w:rFonts w:ascii="宋体" w:eastAsia="宋体"/>
          <w:color w:val="000000"/>
          <w:sz w:val="24"/>
          <w:szCs w:val="24"/>
          <w:highlight w:val="none"/>
        </w:rPr>
      </w:pPr>
      <w:r/>
      <w:bookmarkStart w:id="43" w:name="_Toc76632885"/>
      <w:r/>
      <w:bookmarkStart w:id="44" w:name="_Toc256000019"/>
      <w:r/>
      <w:bookmarkStart w:id="45" w:name="_Toc14023"/>
      <w:r/>
      <w:bookmarkStart w:id="46" w:name="_Toc24525"/>
      <w:r>
        <w:rPr>
          <w:rFonts w:hint="eastAsia" w:ascii="宋体" w:eastAsia="宋体"/>
          <w:color w:val="000000"/>
          <w:sz w:val="24"/>
          <w:szCs w:val="24"/>
          <w:highlight w:val="none"/>
        </w:rPr>
        <w:t xml:space="preserve">三、投标文件</w:t>
      </w:r>
      <w:bookmarkEnd w:id="43"/>
      <w:r/>
      <w:bookmarkEnd w:id="44"/>
      <w:r/>
      <w:bookmarkEnd w:id="45"/>
      <w:r/>
      <w:bookmarkEnd w:id="46"/>
      <w:r>
        <w:rPr>
          <w:rFonts w:ascii="宋体" w:eastAsia="宋体"/>
          <w:color w:val="000000"/>
          <w:sz w:val="24"/>
          <w:szCs w:val="24"/>
          <w:highlight w:val="none"/>
        </w:rPr>
      </w:r>
      <w:r/>
    </w:p>
    <w:p>
      <w:pPr>
        <w:pStyle w:val="1337"/>
        <w:ind w:firstLine="446"/>
        <w:keepLines w:val="0"/>
        <w:keepNext w:val="0"/>
        <w:spacing w:before="200" w:after="200" w:line="360" w:lineRule="auto"/>
        <w:rPr>
          <w:color w:val="000000"/>
          <w:sz w:val="24"/>
          <w:szCs w:val="24"/>
          <w:highlight w:val="none"/>
        </w:rPr>
      </w:pPr>
      <w:r/>
      <w:bookmarkStart w:id="47" w:name="_Toc256000020"/>
      <w:r/>
      <w:bookmarkStart w:id="48" w:name="_Toc76632886"/>
      <w:r>
        <w:rPr>
          <w:rFonts w:hint="eastAsia"/>
          <w:color w:val="000000"/>
          <w:sz w:val="24"/>
          <w:szCs w:val="24"/>
          <w:highlight w:val="none"/>
        </w:rPr>
        <w:t xml:space="preserve">8．编制投标文件的工具</w:t>
      </w:r>
      <w:bookmarkEnd w:id="47"/>
      <w:r/>
      <w:bookmarkEnd w:id="48"/>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8.1投标人须通过“苏采云”网站提供的最新投标文件制作软件编制投标文件。</w:t>
      </w:r>
      <w:r>
        <w:rPr>
          <w:color w:val="000000"/>
          <w:sz w:val="24"/>
          <w:szCs w:val="24"/>
          <w:highlight w:val="none"/>
        </w:rPr>
      </w:r>
      <w:r/>
    </w:p>
    <w:p>
      <w:pPr>
        <w:pStyle w:val="1337"/>
        <w:ind w:firstLine="301"/>
        <w:keepLines w:val="0"/>
        <w:keepNext w:val="0"/>
        <w:spacing w:before="200" w:after="200" w:line="360" w:lineRule="auto"/>
        <w:rPr>
          <w:color w:val="000000"/>
          <w:sz w:val="24"/>
          <w:szCs w:val="24"/>
          <w:highlight w:val="none"/>
        </w:rPr>
      </w:pPr>
      <w:r/>
      <w:bookmarkStart w:id="49" w:name="_Toc76632887"/>
      <w:r/>
      <w:bookmarkStart w:id="50" w:name="_Toc256000021"/>
      <w:r>
        <w:rPr>
          <w:rFonts w:hint="eastAsia"/>
          <w:color w:val="000000"/>
          <w:sz w:val="24"/>
          <w:szCs w:val="24"/>
          <w:highlight w:val="none"/>
        </w:rPr>
        <w:t xml:space="preserve">9．投标文件语言及度量衡单位</w:t>
      </w:r>
      <w:bookmarkEnd w:id="49"/>
      <w:r/>
      <w:bookmarkEnd w:id="50"/>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9.1投标人的投标文件以及投标人就有关投标的所有来往通知、函件和文件均应使用简体中文。投标人提交的支持性文件可以使用另一种语言，但相应内容应翻译成中文，在解释投标文件时以中文文本为准。</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9.2投标文件中所使用的计量单位除招标文件中另有特殊规定外，一律使用法定计量单位。</w:t>
      </w:r>
      <w:r>
        <w:rPr>
          <w:color w:val="000000"/>
          <w:sz w:val="24"/>
          <w:szCs w:val="24"/>
          <w:highlight w:val="none"/>
        </w:rPr>
      </w:r>
      <w:r/>
    </w:p>
    <w:p>
      <w:pPr>
        <w:pStyle w:val="1337"/>
        <w:ind w:firstLine="446"/>
        <w:keepLines w:val="0"/>
        <w:keepNext w:val="0"/>
        <w:spacing w:before="200" w:after="200" w:line="360" w:lineRule="auto"/>
        <w:rPr>
          <w:color w:val="000000"/>
          <w:sz w:val="24"/>
          <w:szCs w:val="24"/>
          <w:highlight w:val="none"/>
        </w:rPr>
      </w:pPr>
      <w:r/>
      <w:bookmarkStart w:id="51" w:name="_Toc76632888"/>
      <w:r/>
      <w:bookmarkStart w:id="52" w:name="_Toc256000022"/>
      <w:r>
        <w:rPr>
          <w:rFonts w:hint="eastAsia"/>
          <w:color w:val="000000"/>
          <w:sz w:val="24"/>
          <w:szCs w:val="24"/>
          <w:highlight w:val="none"/>
        </w:rPr>
        <w:t xml:space="preserve">10．投标文件的构成</w:t>
      </w:r>
      <w:bookmarkEnd w:id="51"/>
      <w:r/>
      <w:bookmarkEnd w:id="52"/>
      <w:r>
        <w:rPr>
          <w:color w:val="000000"/>
          <w:sz w:val="24"/>
          <w:szCs w:val="24"/>
          <w:highlight w:val="none"/>
        </w:rPr>
      </w:r>
      <w:r/>
    </w:p>
    <w:p>
      <w:pPr>
        <w:pStyle w:val="1704"/>
        <w:ind w:firstLine="425"/>
        <w:spacing w:line="360" w:lineRule="auto"/>
        <w:rPr>
          <w:color w:val="000000"/>
          <w:sz w:val="24"/>
          <w:szCs w:val="24"/>
          <w:highlight w:val="none"/>
        </w:rPr>
      </w:pPr>
      <w:r>
        <w:rPr>
          <w:rFonts w:hint="eastAsia"/>
          <w:color w:val="000000"/>
          <w:sz w:val="24"/>
          <w:szCs w:val="24"/>
          <w:highlight w:val="none"/>
        </w:rPr>
        <w:t xml:space="preserve">10.1投标文件分为资格部分、商务部分和技术部分。</w:t>
      </w:r>
      <w:r>
        <w:rPr>
          <w:color w:val="000000"/>
          <w:sz w:val="24"/>
          <w:szCs w:val="24"/>
          <w:highlight w:val="none"/>
        </w:rPr>
      </w:r>
      <w:r/>
    </w:p>
    <w:p>
      <w:pPr>
        <w:pStyle w:val="1704"/>
        <w:ind w:firstLine="425"/>
        <w:spacing w:line="360" w:lineRule="auto"/>
        <w:rPr>
          <w:color w:val="000000"/>
          <w:sz w:val="24"/>
          <w:szCs w:val="24"/>
          <w:highlight w:val="none"/>
        </w:rPr>
      </w:pPr>
      <w:r>
        <w:rPr>
          <w:rFonts w:hint="eastAsia"/>
          <w:color w:val="000000"/>
          <w:sz w:val="24"/>
          <w:szCs w:val="24"/>
          <w:highlight w:val="none"/>
        </w:rPr>
        <w:t xml:space="preserve">10.2资格部分系指投标人提交的证明其有资格参加投标的文件。</w:t>
      </w:r>
      <w:r>
        <w:rPr>
          <w:color w:val="000000"/>
          <w:sz w:val="24"/>
          <w:szCs w:val="24"/>
          <w:highlight w:val="none"/>
        </w:rPr>
      </w:r>
      <w:r/>
    </w:p>
    <w:p>
      <w:pPr>
        <w:pStyle w:val="1704"/>
        <w:ind w:firstLine="425"/>
        <w:spacing w:line="360" w:lineRule="auto"/>
        <w:rPr>
          <w:color w:val="000000"/>
          <w:sz w:val="24"/>
          <w:szCs w:val="24"/>
          <w:highlight w:val="none"/>
        </w:rPr>
      </w:pPr>
      <w:r>
        <w:rPr>
          <w:rFonts w:hint="eastAsia"/>
          <w:color w:val="000000"/>
          <w:sz w:val="24"/>
          <w:szCs w:val="24"/>
          <w:highlight w:val="none"/>
        </w:rPr>
        <w:t xml:space="preserve">10.3商务部分系指投标人提交的证明其中标后有能力履行合同的文件。</w:t>
      </w:r>
      <w:r>
        <w:rPr>
          <w:color w:val="000000"/>
          <w:sz w:val="24"/>
          <w:szCs w:val="24"/>
          <w:highlight w:val="none"/>
        </w:rPr>
      </w:r>
      <w:r/>
    </w:p>
    <w:p>
      <w:pPr>
        <w:pStyle w:val="1704"/>
        <w:ind w:firstLine="425"/>
        <w:spacing w:line="360" w:lineRule="auto"/>
        <w:rPr>
          <w:color w:val="000000"/>
          <w:sz w:val="24"/>
          <w:szCs w:val="24"/>
          <w:highlight w:val="none"/>
        </w:rPr>
      </w:pPr>
      <w:r>
        <w:rPr>
          <w:rFonts w:hint="eastAsia"/>
          <w:color w:val="000000"/>
          <w:sz w:val="24"/>
          <w:szCs w:val="24"/>
          <w:highlight w:val="none"/>
        </w:rPr>
        <w:t xml:space="preserve">10.4技术部分系指投标人提交的能够证明投标人提供的服务（货物）符合招标文件规定的文件。</w:t>
      </w:r>
      <w:r>
        <w:rPr>
          <w:color w:val="000000"/>
          <w:sz w:val="24"/>
          <w:szCs w:val="24"/>
          <w:highlight w:val="none"/>
        </w:rPr>
      </w:r>
      <w:r/>
    </w:p>
    <w:p>
      <w:pPr>
        <w:pStyle w:val="1704"/>
        <w:ind w:firstLine="425"/>
        <w:spacing w:line="360" w:lineRule="auto"/>
        <w:rPr>
          <w:color w:val="000000"/>
          <w:sz w:val="24"/>
          <w:szCs w:val="24"/>
          <w:highlight w:val="none"/>
        </w:rPr>
      </w:pPr>
      <w:r>
        <w:rPr>
          <w:rFonts w:hint="eastAsia"/>
          <w:color w:val="000000"/>
          <w:sz w:val="24"/>
          <w:szCs w:val="24"/>
          <w:highlight w:val="none"/>
        </w:rPr>
        <w:t xml:space="preserve">10.5具体填写格式详见招标文件第六部分。</w:t>
      </w:r>
      <w:r>
        <w:rPr>
          <w:color w:val="000000"/>
          <w:sz w:val="24"/>
          <w:szCs w:val="24"/>
          <w:highlight w:val="none"/>
        </w:rPr>
      </w:r>
      <w:r/>
    </w:p>
    <w:p>
      <w:pPr>
        <w:pStyle w:val="1337"/>
        <w:ind w:firstLine="446"/>
        <w:keepLines w:val="0"/>
        <w:keepNext w:val="0"/>
        <w:spacing w:before="200" w:after="200" w:line="360" w:lineRule="auto"/>
        <w:rPr>
          <w:color w:val="000000"/>
          <w:sz w:val="24"/>
          <w:szCs w:val="24"/>
          <w:highlight w:val="none"/>
        </w:rPr>
      </w:pPr>
      <w:r/>
      <w:bookmarkStart w:id="53" w:name="_Toc256000023"/>
      <w:r/>
      <w:bookmarkStart w:id="54" w:name="_Toc76632889"/>
      <w:r>
        <w:rPr>
          <w:rFonts w:hint="eastAsia"/>
          <w:color w:val="000000"/>
          <w:sz w:val="24"/>
          <w:szCs w:val="24"/>
          <w:highlight w:val="none"/>
        </w:rPr>
        <w:t xml:space="preserve">11．投标文件的编制</w:t>
      </w:r>
      <w:bookmarkEnd w:id="53"/>
      <w:r/>
      <w:bookmarkEnd w:id="54"/>
      <w:r>
        <w:rPr>
          <w:color w:val="000000"/>
          <w:sz w:val="24"/>
          <w:szCs w:val="24"/>
          <w:highlight w:val="none"/>
        </w:rPr>
      </w:r>
      <w:r/>
    </w:p>
    <w:p>
      <w:pPr>
        <w:pStyle w:val="1131"/>
        <w:ind w:left="1" w:firstLine="480"/>
        <w:spacing w:line="360" w:lineRule="auto"/>
        <w:rPr>
          <w:b/>
          <w:color w:val="000000"/>
          <w:sz w:val="24"/>
          <w:szCs w:val="24"/>
          <w:highlight w:val="none"/>
        </w:rPr>
      </w:pPr>
      <w:r>
        <w:rPr>
          <w:rFonts w:hint="eastAsia"/>
          <w:color w:val="000000"/>
          <w:sz w:val="24"/>
          <w:szCs w:val="24"/>
          <w:highlight w:val="none"/>
        </w:rPr>
        <w:t xml:space="preserve">11.1投标人应仔细阅读招标文件，按照招标文件的要求编制投标文件。投标文件应当对招标文件提出的要求和条件作出明确响应。</w:t>
      </w:r>
      <w:r>
        <w:rPr>
          <w:b/>
          <w:color w:val="000000"/>
          <w:sz w:val="24"/>
          <w:szCs w:val="24"/>
          <w:highlight w:val="none"/>
        </w:rPr>
      </w:r>
      <w:r/>
    </w:p>
    <w:p>
      <w:pPr>
        <w:pStyle w:val="1131"/>
        <w:ind w:left="1" w:firstLine="480"/>
        <w:spacing w:line="360" w:lineRule="auto"/>
        <w:rPr>
          <w:b/>
          <w:color w:val="000000"/>
          <w:sz w:val="24"/>
          <w:szCs w:val="24"/>
          <w:highlight w:val="none"/>
        </w:rPr>
      </w:pPr>
      <w:r>
        <w:rPr>
          <w:rFonts w:hint="eastAsia"/>
          <w:color w:val="000000"/>
          <w:sz w:val="24"/>
          <w:szCs w:val="24"/>
          <w:highlight w:val="none"/>
        </w:rPr>
        <w:t xml:space="preserve">11.2</w:t>
      </w:r>
      <w:r>
        <w:rPr>
          <w:rFonts w:hint="eastAsia"/>
          <w:b/>
          <w:color w:val="000000"/>
          <w:sz w:val="24"/>
          <w:szCs w:val="24"/>
          <w:highlight w:val="none"/>
        </w:rPr>
        <w:t xml:space="preserve">投标人在编制投标文件时，各模块内容须填写或提交到对应位置，无相应内容可填的项应填写“无”、“没有相应指标”等明确的回答文字。</w:t>
      </w:r>
      <w:r>
        <w:rPr>
          <w:b/>
          <w:color w:val="000000"/>
          <w:sz w:val="24"/>
          <w:szCs w:val="24"/>
          <w:highlight w:val="none"/>
        </w:rPr>
      </w:r>
      <w:r/>
    </w:p>
    <w:p>
      <w:pPr>
        <w:pStyle w:val="1131"/>
        <w:ind w:left="1" w:firstLine="480"/>
        <w:spacing w:line="360" w:lineRule="auto"/>
        <w:rPr>
          <w:color w:val="000000"/>
          <w:sz w:val="24"/>
          <w:szCs w:val="24"/>
          <w:highlight w:val="none"/>
        </w:rPr>
      </w:pPr>
      <w:r>
        <w:rPr>
          <w:rFonts w:hint="eastAsia"/>
          <w:color w:val="000000"/>
          <w:sz w:val="24"/>
          <w:szCs w:val="24"/>
          <w:highlight w:val="none"/>
        </w:rPr>
        <w:t xml:space="preserve">11.3投标文件编排混乱、文字表达不清或上传资料内容模糊所引起的不利后果，由投标人自行承担。</w:t>
      </w:r>
      <w:r>
        <w:rPr>
          <w:color w:val="000000"/>
          <w:sz w:val="24"/>
          <w:szCs w:val="24"/>
          <w:highlight w:val="none"/>
        </w:rPr>
      </w:r>
      <w:r/>
    </w:p>
    <w:p>
      <w:pPr>
        <w:pStyle w:val="1131"/>
        <w:ind w:left="1" w:firstLine="480"/>
        <w:spacing w:line="360" w:lineRule="auto"/>
        <w:rPr>
          <w:b/>
          <w:color w:val="000000"/>
          <w:sz w:val="24"/>
          <w:szCs w:val="24"/>
          <w:highlight w:val="none"/>
        </w:rPr>
      </w:pPr>
      <w:r>
        <w:rPr>
          <w:rFonts w:hint="eastAsia"/>
          <w:color w:val="000000"/>
          <w:sz w:val="24"/>
          <w:szCs w:val="24"/>
          <w:highlight w:val="none"/>
        </w:rPr>
        <w:t xml:space="preserve">11.4</w:t>
      </w:r>
      <w:r>
        <w:rPr>
          <w:rFonts w:hint="eastAsia"/>
          <w:b/>
          <w:color w:val="000000"/>
          <w:sz w:val="24"/>
          <w:szCs w:val="24"/>
          <w:highlight w:val="none"/>
        </w:rPr>
        <w:t xml:space="preserve">投标人必须保证投标文件所提供的全部资料合法、真实、可靠。</w:t>
      </w:r>
      <w:r>
        <w:rPr>
          <w:b/>
          <w:color w:val="000000"/>
          <w:sz w:val="24"/>
          <w:szCs w:val="24"/>
          <w:highlight w:val="none"/>
        </w:rPr>
      </w:r>
      <w:r/>
    </w:p>
    <w:p>
      <w:pPr>
        <w:pStyle w:val="1337"/>
        <w:ind w:firstLine="446"/>
        <w:keepLines w:val="0"/>
        <w:keepNext w:val="0"/>
        <w:spacing w:line="360" w:lineRule="auto"/>
        <w:rPr>
          <w:color w:val="000000"/>
          <w:sz w:val="24"/>
          <w:szCs w:val="24"/>
          <w:highlight w:val="none"/>
        </w:rPr>
      </w:pPr>
      <w:r/>
      <w:bookmarkStart w:id="55" w:name="_Toc76632890"/>
      <w:r/>
      <w:bookmarkStart w:id="56" w:name="_Toc256000024"/>
      <w:r>
        <w:rPr>
          <w:rFonts w:hint="eastAsia"/>
          <w:color w:val="000000"/>
          <w:sz w:val="24"/>
          <w:szCs w:val="24"/>
          <w:highlight w:val="none"/>
        </w:rPr>
        <w:t xml:space="preserve">12．投标报价</w:t>
      </w:r>
      <w:bookmarkEnd w:id="55"/>
      <w:r/>
      <w:bookmarkEnd w:id="56"/>
      <w:r>
        <w:rPr>
          <w:color w:val="000000"/>
          <w:sz w:val="24"/>
          <w:szCs w:val="24"/>
          <w:highlight w:val="none"/>
        </w:rPr>
      </w:r>
      <w:r/>
    </w:p>
    <w:p>
      <w:pPr>
        <w:pStyle w:val="1131"/>
        <w:ind w:left="2" w:firstLine="480"/>
        <w:spacing w:line="360" w:lineRule="auto"/>
        <w:rPr>
          <w:color w:val="000000"/>
          <w:sz w:val="24"/>
          <w:szCs w:val="24"/>
          <w:highlight w:val="none"/>
        </w:rPr>
      </w:pPr>
      <w:r/>
      <w:bookmarkStart w:id="57" w:name="EB588825d8a93c487a94518aeac5abb683"/>
      <w:r>
        <w:rPr>
          <w:rFonts w:hint="eastAsia"/>
          <w:color w:val="000000"/>
          <w:sz w:val="24"/>
          <w:szCs w:val="24"/>
          <w:highlight w:val="none"/>
        </w:rPr>
        <w:t xml:space="preserve">12.1投标应以人民币报价。</w:t>
      </w:r>
      <w:r>
        <w:rPr>
          <w:color w:val="000000"/>
          <w:sz w:val="24"/>
          <w:szCs w:val="24"/>
          <w:highlight w:val="none"/>
        </w:rPr>
      </w:r>
      <w:r/>
    </w:p>
    <w:p>
      <w:pPr>
        <w:pStyle w:val="1131"/>
        <w:ind w:left="2" w:firstLine="480"/>
        <w:spacing w:line="360" w:lineRule="auto"/>
        <w:rPr>
          <w:color w:val="000000"/>
          <w:sz w:val="24"/>
          <w:szCs w:val="24"/>
          <w:highlight w:val="none"/>
        </w:rPr>
      </w:pPr>
      <w:r>
        <w:rPr>
          <w:rFonts w:hint="eastAsia"/>
          <w:color w:val="000000"/>
          <w:sz w:val="24"/>
          <w:szCs w:val="24"/>
          <w:highlight w:val="none"/>
        </w:rPr>
        <w:t xml:space="preserve">12.2投标人应按招标文件所提供的各报价表格式报价。</w:t>
      </w:r>
      <w:r>
        <w:rPr>
          <w:color w:val="000000"/>
          <w:sz w:val="24"/>
          <w:szCs w:val="24"/>
          <w:highlight w:val="none"/>
        </w:rPr>
      </w:r>
      <w:r/>
    </w:p>
    <w:p>
      <w:pPr>
        <w:pStyle w:val="1131"/>
        <w:ind w:left="2" w:firstLine="480"/>
        <w:spacing w:line="360" w:lineRule="auto"/>
        <w:rPr>
          <w:color w:val="000000"/>
          <w:sz w:val="24"/>
          <w:szCs w:val="24"/>
          <w:highlight w:val="none"/>
        </w:rPr>
      </w:pPr>
      <w:r>
        <w:rPr>
          <w:rFonts w:hint="eastAsia"/>
          <w:color w:val="000000"/>
          <w:sz w:val="24"/>
          <w:szCs w:val="24"/>
          <w:highlight w:val="none"/>
        </w:rPr>
        <w:t xml:space="preserve">12.3投标人应对本项目报出最具有竞争力的价格，应包括本次招标要求提供的服务已支付或将支付的所有费用。</w:t>
      </w:r>
      <w:r>
        <w:rPr>
          <w:color w:val="000000"/>
          <w:sz w:val="24"/>
          <w:szCs w:val="24"/>
          <w:highlight w:val="none"/>
        </w:rPr>
      </w:r>
      <w:r/>
    </w:p>
    <w:p>
      <w:pPr>
        <w:pStyle w:val="1131"/>
        <w:ind w:left="2" w:firstLine="480"/>
        <w:spacing w:line="360" w:lineRule="auto"/>
        <w:rPr>
          <w:color w:val="000000"/>
          <w:sz w:val="24"/>
          <w:szCs w:val="24"/>
          <w:highlight w:val="none"/>
        </w:rPr>
      </w:pPr>
      <w:r>
        <w:rPr>
          <w:rFonts w:hint="eastAsia"/>
          <w:color w:val="000000"/>
          <w:sz w:val="24"/>
          <w:szCs w:val="24"/>
          <w:highlight w:val="none"/>
        </w:rPr>
        <w:t xml:space="preserve">12.4最低投标报价不能作为中标的唯一保证。</w:t>
      </w:r>
      <w:r>
        <w:rPr>
          <w:color w:val="000000"/>
          <w:sz w:val="24"/>
          <w:szCs w:val="24"/>
          <w:highlight w:val="none"/>
        </w:rPr>
      </w:r>
      <w:r/>
    </w:p>
    <w:p>
      <w:pPr>
        <w:pStyle w:val="1131"/>
        <w:ind w:left="2" w:firstLine="480"/>
        <w:spacing w:line="360" w:lineRule="auto"/>
        <w:rPr>
          <w:color w:val="000000"/>
          <w:sz w:val="24"/>
          <w:szCs w:val="24"/>
          <w:highlight w:val="none"/>
        </w:rPr>
      </w:pPr>
      <w:r>
        <w:rPr>
          <w:rFonts w:hint="eastAsia"/>
          <w:color w:val="000000"/>
          <w:sz w:val="24"/>
          <w:szCs w:val="24"/>
          <w:highlight w:val="none"/>
        </w:rPr>
        <w:t xml:space="preserve">12.5中标价即为合同签约价。</w:t>
      </w:r>
      <w:r>
        <w:rPr>
          <w:color w:val="000000"/>
          <w:sz w:val="24"/>
          <w:szCs w:val="24"/>
          <w:highlight w:val="none"/>
        </w:rPr>
      </w:r>
      <w:r/>
    </w:p>
    <w:p>
      <w:pPr>
        <w:pStyle w:val="1131"/>
        <w:ind w:left="2" w:firstLine="480"/>
        <w:spacing w:line="360" w:lineRule="auto"/>
        <w:rPr>
          <w:color w:val="000000"/>
          <w:sz w:val="24"/>
          <w:szCs w:val="24"/>
          <w:highlight w:val="none"/>
        </w:rPr>
      </w:pPr>
      <w:r>
        <w:rPr>
          <w:rFonts w:hint="eastAsia"/>
          <w:color w:val="000000"/>
          <w:sz w:val="24"/>
          <w:szCs w:val="24"/>
          <w:highlight w:val="none"/>
        </w:rPr>
        <w:t xml:space="preserve">12.6如出现报价前后不一致的，将按招标文件第五部分“评标办法和标准”第5项规定进行修正。</w:t>
      </w:r>
      <w:bookmarkEnd w:id="57"/>
      <w:r>
        <w:rPr>
          <w:color w:val="000000"/>
          <w:sz w:val="24"/>
          <w:szCs w:val="24"/>
          <w:highlight w:val="none"/>
        </w:rPr>
      </w:r>
      <w:r/>
    </w:p>
    <w:p>
      <w:pPr>
        <w:pStyle w:val="1337"/>
        <w:ind w:firstLine="446"/>
        <w:keepLines w:val="0"/>
        <w:keepNext w:val="0"/>
        <w:spacing w:line="360" w:lineRule="auto"/>
        <w:rPr>
          <w:color w:val="000000"/>
          <w:sz w:val="24"/>
          <w:szCs w:val="24"/>
          <w:highlight w:val="none"/>
        </w:rPr>
      </w:pPr>
      <w:r/>
      <w:bookmarkStart w:id="58" w:name="_Toc76632891"/>
      <w:r/>
      <w:bookmarkStart w:id="59" w:name="_Toc256000025"/>
      <w:r>
        <w:rPr>
          <w:rFonts w:hint="eastAsia"/>
          <w:color w:val="000000"/>
          <w:sz w:val="24"/>
          <w:szCs w:val="24"/>
          <w:highlight w:val="none"/>
        </w:rPr>
        <w:t xml:space="preserve">13．投标保证金</w:t>
      </w:r>
      <w:bookmarkEnd w:id="58"/>
      <w:r/>
      <w:bookmarkEnd w:id="59"/>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13.1</w:t>
      </w:r>
      <w:bookmarkStart w:id="60" w:name="EB2fde56c0adf04719bf98c8900873bf6b"/>
      <w:r>
        <w:rPr>
          <w:rFonts w:hint="eastAsia"/>
          <w:color w:val="000000"/>
          <w:sz w:val="24"/>
          <w:szCs w:val="24"/>
          <w:highlight w:val="none"/>
        </w:rPr>
        <w:t xml:space="preserve">本项目不收投标保证金。</w:t>
      </w:r>
      <w:bookmarkEnd w:id="60"/>
      <w:r>
        <w:rPr>
          <w:color w:val="000000"/>
          <w:sz w:val="24"/>
          <w:szCs w:val="24"/>
          <w:highlight w:val="none"/>
        </w:rPr>
      </w:r>
      <w:r/>
    </w:p>
    <w:p>
      <w:pPr>
        <w:pStyle w:val="1337"/>
        <w:ind w:firstLine="446"/>
        <w:keepLines w:val="0"/>
        <w:keepNext w:val="0"/>
        <w:spacing w:before="200" w:after="200" w:line="360" w:lineRule="auto"/>
        <w:rPr>
          <w:color w:val="000000"/>
          <w:sz w:val="24"/>
          <w:szCs w:val="24"/>
          <w:highlight w:val="none"/>
        </w:rPr>
      </w:pPr>
      <w:r/>
      <w:bookmarkStart w:id="61" w:name="_Toc76632892"/>
      <w:r/>
      <w:bookmarkStart w:id="62" w:name="_Toc256000026"/>
      <w:r>
        <w:rPr>
          <w:rFonts w:hint="eastAsia"/>
          <w:color w:val="000000"/>
          <w:sz w:val="24"/>
          <w:szCs w:val="24"/>
          <w:highlight w:val="none"/>
        </w:rPr>
        <w:t xml:space="preserve">14．投标有效期</w:t>
      </w:r>
      <w:bookmarkEnd w:id="61"/>
      <w:r/>
      <w:bookmarkEnd w:id="62"/>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14.1投标有效期为：投标文件自开标之日起</w:t>
      </w:r>
      <w:bookmarkStart w:id="63" w:name="EB19e50d2a36224e489db03aa61ddb5578"/>
      <w:r>
        <w:rPr>
          <w:rFonts w:hint="eastAsia"/>
          <w:color w:val="000000"/>
          <w:sz w:val="24"/>
          <w:szCs w:val="24"/>
          <w:highlight w:val="none"/>
        </w:rPr>
        <w:t xml:space="preserve">90天</w:t>
      </w:r>
      <w:bookmarkEnd w:id="63"/>
      <w:r>
        <w:rPr>
          <w:rFonts w:hint="eastAsia"/>
          <w:color w:val="000000"/>
          <w:sz w:val="24"/>
          <w:szCs w:val="24"/>
          <w:highlight w:val="none"/>
        </w:rPr>
        <w:t xml:space="preserve">内有效。投标人一旦获取了本招标文件并参加投标，即被认为接受了投标有效期的约定。</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14.2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rPr>
          <w:color w:val="000000"/>
          <w:sz w:val="24"/>
          <w:szCs w:val="24"/>
          <w:highlight w:val="none"/>
        </w:rPr>
      </w:r>
      <w:r/>
    </w:p>
    <w:p>
      <w:pPr>
        <w:pStyle w:val="1337"/>
        <w:ind w:firstLine="446"/>
        <w:keepLines w:val="0"/>
        <w:keepNext w:val="0"/>
        <w:spacing w:line="360" w:lineRule="auto"/>
        <w:rPr>
          <w:color w:val="000000"/>
          <w:sz w:val="24"/>
          <w:szCs w:val="24"/>
          <w:highlight w:val="none"/>
        </w:rPr>
      </w:pPr>
      <w:r/>
      <w:bookmarkStart w:id="64" w:name="_Toc256000027"/>
      <w:r/>
      <w:bookmarkStart w:id="65" w:name="_Toc76632893"/>
      <w:r>
        <w:rPr>
          <w:rFonts w:hint="eastAsia"/>
          <w:color w:val="000000"/>
          <w:sz w:val="24"/>
          <w:szCs w:val="24"/>
          <w:highlight w:val="none"/>
        </w:rPr>
        <w:t xml:space="preserve">15．投标文件的式样和签署</w:t>
      </w:r>
      <w:bookmarkEnd w:id="64"/>
      <w:r/>
      <w:bookmarkEnd w:id="65"/>
      <w:r>
        <w:rPr>
          <w:color w:val="000000"/>
          <w:sz w:val="24"/>
          <w:szCs w:val="24"/>
          <w:highlight w:val="none"/>
        </w:rPr>
      </w:r>
      <w:r/>
    </w:p>
    <w:p>
      <w:pPr>
        <w:pStyle w:val="1131"/>
        <w:ind w:firstLine="420"/>
        <w:spacing w:line="360" w:lineRule="auto"/>
        <w:rPr>
          <w:color w:val="000000"/>
          <w:sz w:val="24"/>
          <w:szCs w:val="24"/>
          <w:highlight w:val="none"/>
        </w:rPr>
      </w:pPr>
      <w:r>
        <w:rPr>
          <w:rFonts w:hint="eastAsia"/>
          <w:color w:val="000000"/>
          <w:sz w:val="24"/>
          <w:szCs w:val="24"/>
          <w:highlight w:val="none"/>
        </w:rPr>
        <w:t xml:space="preserve">15.1投标人应通过投标文件制作软件使用数字认证证书对投标文件进行合成、电子签章及加密打包。</w:t>
      </w:r>
      <w:r>
        <w:rPr>
          <w:color w:val="000000"/>
          <w:sz w:val="24"/>
          <w:szCs w:val="24"/>
          <w:highlight w:val="none"/>
        </w:rPr>
      </w:r>
      <w:r/>
    </w:p>
    <w:p>
      <w:pPr>
        <w:pStyle w:val="1337"/>
        <w:ind w:firstLine="446"/>
        <w:keepLines w:val="0"/>
        <w:keepNext w:val="0"/>
        <w:spacing w:before="200" w:after="200" w:line="360" w:lineRule="auto"/>
        <w:rPr>
          <w:color w:val="000000"/>
          <w:sz w:val="24"/>
          <w:szCs w:val="24"/>
          <w:highlight w:val="none"/>
        </w:rPr>
      </w:pPr>
      <w:r/>
      <w:bookmarkStart w:id="66" w:name="_Toc76632894"/>
      <w:r/>
      <w:bookmarkStart w:id="67" w:name="_Toc256000028"/>
      <w:r>
        <w:rPr>
          <w:rFonts w:hint="eastAsia"/>
          <w:color w:val="000000"/>
          <w:sz w:val="24"/>
          <w:szCs w:val="24"/>
          <w:highlight w:val="none"/>
        </w:rPr>
        <w:t xml:space="preserve">16．投标文件的提交</w:t>
      </w:r>
      <w:bookmarkEnd w:id="66"/>
      <w:r/>
      <w:bookmarkEnd w:id="67"/>
      <w:r>
        <w:rPr>
          <w:color w:val="000000"/>
          <w:sz w:val="24"/>
          <w:szCs w:val="24"/>
          <w:highlight w:val="none"/>
        </w:rPr>
      </w:r>
      <w:r/>
    </w:p>
    <w:p>
      <w:pPr>
        <w:pStyle w:val="1131"/>
        <w:ind w:left="1" w:firstLine="480"/>
        <w:spacing w:line="360" w:lineRule="auto"/>
        <w:rPr>
          <w:color w:val="000000"/>
          <w:sz w:val="24"/>
          <w:szCs w:val="24"/>
          <w:highlight w:val="none"/>
        </w:rPr>
      </w:pPr>
      <w:r>
        <w:rPr>
          <w:rFonts w:hint="eastAsia"/>
          <w:color w:val="000000"/>
          <w:sz w:val="24"/>
          <w:szCs w:val="24"/>
          <w:highlight w:val="none"/>
        </w:rPr>
        <w:t xml:space="preserve">16.1投标文件提交</w:t>
      </w:r>
      <w:r>
        <w:rPr>
          <w:color w:val="000000"/>
          <w:sz w:val="24"/>
          <w:szCs w:val="24"/>
          <w:highlight w:val="none"/>
        </w:rPr>
      </w:r>
      <w:r/>
    </w:p>
    <w:p>
      <w:pPr>
        <w:pStyle w:val="1131"/>
        <w:ind w:left="1" w:firstLine="480"/>
        <w:spacing w:line="360" w:lineRule="auto"/>
        <w:rPr>
          <w:b/>
          <w:color w:val="000000"/>
          <w:sz w:val="24"/>
          <w:szCs w:val="24"/>
          <w:highlight w:val="none"/>
          <w:u w:val="single"/>
        </w:rPr>
      </w:pPr>
      <w:r>
        <w:rPr>
          <w:rFonts w:hint="eastAsia"/>
          <w:color w:val="000000"/>
          <w:sz w:val="24"/>
          <w:szCs w:val="24"/>
          <w:highlight w:val="none"/>
        </w:rPr>
        <w:t xml:space="preserve">16.1.1投标人须在招标文件规定的截止时间前，通过投标文件编制软件或登录电子交易平台在规定时间内完成提交，提交成功后系统将发送投标回执。</w:t>
      </w:r>
      <w:r>
        <w:rPr>
          <w:rFonts w:hint="eastAsia"/>
          <w:b/>
          <w:color w:val="000000"/>
          <w:sz w:val="24"/>
          <w:szCs w:val="24"/>
          <w:highlight w:val="none"/>
          <w:u w:val="single"/>
        </w:rPr>
        <w:t xml:space="preserve">时间以电子交易平台时间为准。</w:t>
      </w:r>
      <w:r>
        <w:rPr>
          <w:b/>
          <w:color w:val="000000"/>
          <w:sz w:val="24"/>
          <w:szCs w:val="24"/>
          <w:highlight w:val="none"/>
          <w:u w:val="single"/>
        </w:rPr>
      </w:r>
      <w:r/>
    </w:p>
    <w:p>
      <w:pPr>
        <w:pStyle w:val="1131"/>
        <w:ind w:left="1" w:firstLine="480"/>
        <w:spacing w:line="360" w:lineRule="auto"/>
        <w:rPr>
          <w:b/>
          <w:color w:val="000000"/>
          <w:sz w:val="24"/>
          <w:szCs w:val="24"/>
          <w:highlight w:val="none"/>
          <w:u w:val="single"/>
        </w:rPr>
      </w:pPr>
      <w:r>
        <w:rPr>
          <w:rFonts w:hint="eastAsia"/>
          <w:color w:val="000000"/>
          <w:sz w:val="24"/>
          <w:szCs w:val="24"/>
          <w:highlight w:val="none"/>
        </w:rPr>
        <w:t xml:space="preserve">16.1.2</w:t>
      </w:r>
      <w:r>
        <w:rPr>
          <w:rFonts w:hint="eastAsia"/>
          <w:b/>
          <w:color w:val="000000"/>
          <w:sz w:val="24"/>
          <w:szCs w:val="24"/>
          <w:highlight w:val="none"/>
          <w:u w:val="single"/>
        </w:rPr>
        <w:t xml:space="preserve">截止时间以后提交的投标文件，电子交易平台将拒绝接收。投标人应充分考虑网络环境、网络带宽等风险因素。</w:t>
      </w:r>
      <w:r>
        <w:rPr>
          <w:b/>
          <w:color w:val="000000"/>
          <w:sz w:val="24"/>
          <w:szCs w:val="24"/>
          <w:highlight w:val="none"/>
          <w:u w:val="single"/>
        </w:rPr>
      </w:r>
      <w:r/>
    </w:p>
    <w:p>
      <w:pPr>
        <w:pStyle w:val="1131"/>
        <w:ind w:firstLine="480"/>
        <w:spacing w:line="360" w:lineRule="auto"/>
        <w:rPr>
          <w:b/>
          <w:color w:val="000000"/>
          <w:sz w:val="24"/>
          <w:szCs w:val="24"/>
          <w:highlight w:val="none"/>
          <w:u w:val="single"/>
        </w:rPr>
      </w:pPr>
      <w:r>
        <w:rPr>
          <w:rFonts w:hint="eastAsia"/>
          <w:color w:val="000000"/>
          <w:sz w:val="24"/>
          <w:szCs w:val="24"/>
          <w:highlight w:val="none"/>
        </w:rPr>
        <w:t xml:space="preserve">16.1.3</w:t>
      </w:r>
      <w:r>
        <w:rPr>
          <w:rFonts w:hint="eastAsia"/>
          <w:b/>
          <w:color w:val="000000"/>
          <w:sz w:val="24"/>
          <w:szCs w:val="24"/>
          <w:highlight w:val="none"/>
          <w:u w:val="single"/>
        </w:rPr>
        <w:t xml:space="preserve">提交投标文件时，投标人须使用制作该投标文件的同一数字认证证书进行提交操作。</w:t>
      </w:r>
      <w:r>
        <w:rPr>
          <w:b/>
          <w:color w:val="000000"/>
          <w:sz w:val="24"/>
          <w:szCs w:val="24"/>
          <w:highlight w:val="none"/>
          <w:u w:val="single"/>
        </w:rPr>
      </w:r>
      <w:r/>
    </w:p>
    <w:p>
      <w:pPr>
        <w:pStyle w:val="1131"/>
        <w:ind w:firstLine="480"/>
        <w:spacing w:line="360" w:lineRule="auto"/>
        <w:rPr>
          <w:b/>
          <w:color w:val="000000"/>
          <w:sz w:val="24"/>
          <w:szCs w:val="24"/>
          <w:highlight w:val="none"/>
          <w:u w:val="single"/>
        </w:rPr>
      </w:pPr>
      <w:r>
        <w:rPr>
          <w:rFonts w:hint="eastAsia"/>
          <w:color w:val="000000"/>
          <w:sz w:val="24"/>
          <w:szCs w:val="24"/>
          <w:highlight w:val="none"/>
        </w:rPr>
        <w:t xml:space="preserve">16.1.4</w:t>
      </w:r>
      <w:r>
        <w:rPr>
          <w:rFonts w:hint="eastAsia"/>
          <w:b/>
          <w:color w:val="000000"/>
          <w:sz w:val="24"/>
          <w:szCs w:val="24"/>
          <w:highlight w:val="none"/>
          <w:u w:val="single"/>
        </w:rPr>
        <w:t xml:space="preserve">提交完成后至解密前，投标人不能对加密投标文件时所使用的数字认证证书进行更新、续费，否则可能引起的投标文件解密失败等相关后果由投标人自行承担。</w:t>
      </w:r>
      <w:r>
        <w:rPr>
          <w:b/>
          <w:color w:val="000000"/>
          <w:sz w:val="24"/>
          <w:szCs w:val="24"/>
          <w:highlight w:val="none"/>
          <w:u w:val="singl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16.1.5因不可抗力事件造成的投标文件的损坏、丢失的，招标组织方不承担责任。</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16.2招标组织方可以通过修改招标文件自行酌情延长提交截止时间，在此情况下，推迟的提交截止时间将在系统中以书面形式通知已获取招标文件的潜在投标人，并在“苏采云”上发布公告。投标人应及时自行登录系统查看相应内容。</w:t>
      </w:r>
      <w:r>
        <w:rPr>
          <w:color w:val="000000"/>
          <w:sz w:val="24"/>
          <w:szCs w:val="24"/>
          <w:highlight w:val="none"/>
        </w:rPr>
      </w:r>
      <w:r/>
    </w:p>
    <w:p>
      <w:pPr>
        <w:pStyle w:val="1337"/>
        <w:ind w:firstLine="446"/>
        <w:keepLines w:val="0"/>
        <w:keepNext w:val="0"/>
        <w:spacing w:before="200" w:after="200" w:line="360" w:lineRule="auto"/>
        <w:rPr>
          <w:color w:val="000000"/>
          <w:sz w:val="24"/>
          <w:szCs w:val="24"/>
          <w:highlight w:val="none"/>
        </w:rPr>
      </w:pPr>
      <w:r/>
      <w:bookmarkStart w:id="68" w:name="_Toc76632895"/>
      <w:r/>
      <w:bookmarkStart w:id="69" w:name="_Toc256000029"/>
      <w:r>
        <w:rPr>
          <w:rFonts w:hint="eastAsia"/>
          <w:color w:val="000000"/>
          <w:sz w:val="24"/>
          <w:szCs w:val="24"/>
          <w:highlight w:val="none"/>
        </w:rPr>
        <w:t xml:space="preserve">17．投标文件的补充、修改或者撤回</w:t>
      </w:r>
      <w:bookmarkEnd w:id="68"/>
      <w:r/>
      <w:bookmarkEnd w:id="69"/>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17.1</w:t>
      </w:r>
      <w:r>
        <w:rPr>
          <w:color w:val="000000"/>
          <w:sz w:val="24"/>
          <w:szCs w:val="24"/>
          <w:highlight w:val="none"/>
        </w:rPr>
        <w:t xml:space="preserve">在提交截止时间前</w:t>
      </w:r>
      <w:r>
        <w:rPr>
          <w:rFonts w:hint="eastAsia"/>
          <w:color w:val="000000"/>
          <w:sz w:val="24"/>
          <w:szCs w:val="24"/>
          <w:highlight w:val="none"/>
        </w:rPr>
        <w:t xml:space="preserve">，</w:t>
      </w:r>
      <w:r>
        <w:rPr>
          <w:color w:val="000000"/>
          <w:sz w:val="24"/>
          <w:szCs w:val="24"/>
          <w:highlight w:val="none"/>
        </w:rPr>
        <w:t xml:space="preserve">投标人可以对所</w:t>
      </w:r>
      <w:r>
        <w:rPr>
          <w:rFonts w:hint="eastAsia"/>
          <w:color w:val="000000"/>
          <w:sz w:val="24"/>
          <w:szCs w:val="24"/>
          <w:highlight w:val="none"/>
        </w:rPr>
        <w:t xml:space="preserve">提交</w:t>
      </w:r>
      <w:r>
        <w:rPr>
          <w:color w:val="000000"/>
          <w:sz w:val="24"/>
          <w:szCs w:val="24"/>
          <w:highlight w:val="none"/>
        </w:rPr>
        <w:t xml:space="preserve">的投标文件进行</w:t>
      </w:r>
      <w:r>
        <w:rPr>
          <w:rFonts w:hint="eastAsia"/>
          <w:color w:val="000000"/>
          <w:sz w:val="24"/>
          <w:szCs w:val="24"/>
          <w:highlight w:val="none"/>
        </w:rPr>
        <w:t xml:space="preserve">补充、修改或者撤回</w:t>
      </w:r>
      <w:r>
        <w:rPr>
          <w:color w:val="000000"/>
          <w:sz w:val="24"/>
          <w:szCs w:val="24"/>
          <w:highlight w:val="none"/>
        </w:rPr>
        <w:t xml:space="preserve">。</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17.2投标人在提交截止时间前需要对投标文件进行补充、修改的，应当使用投标文件制作软件重新制作并提交。</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17.3在提交截止时间之后，投标人不得对其投标文件作任何修改或撤回。</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17.4在提交截止时间至招标文件中规定的投标有效期满之间，投标人不得撤回其投标。</w:t>
      </w:r>
      <w:r>
        <w:rPr>
          <w:color w:val="000000"/>
          <w:sz w:val="24"/>
          <w:szCs w:val="24"/>
          <w:highlight w:val="none"/>
        </w:rPr>
      </w:r>
      <w:r/>
    </w:p>
    <w:p>
      <w:pPr>
        <w:pStyle w:val="1131"/>
        <w:ind w:firstLine="480"/>
        <w:spacing w:line="360" w:lineRule="auto"/>
        <w:rPr>
          <w:color w:val="000000"/>
          <w:sz w:val="24"/>
          <w:szCs w:val="24"/>
          <w:highlight w:val="none"/>
        </w:rPr>
      </w:pPr>
      <w:r>
        <w:rPr>
          <w:color w:val="000000"/>
          <w:sz w:val="24"/>
          <w:szCs w:val="24"/>
          <w:highlight w:val="none"/>
        </w:rPr>
      </w:r>
      <w:r/>
    </w:p>
    <w:p>
      <w:pPr>
        <w:pStyle w:val="1699"/>
        <w:jc w:val="center"/>
        <w:tabs>
          <w:tab w:val="left" w:pos="567" w:leader="none"/>
        </w:tabs>
        <w:rPr>
          <w:rFonts w:ascii="宋体" w:eastAsia="宋体"/>
          <w:color w:val="000000"/>
          <w:sz w:val="24"/>
          <w:szCs w:val="24"/>
          <w:highlight w:val="none"/>
        </w:rPr>
      </w:pPr>
      <w:r/>
      <w:bookmarkStart w:id="70" w:name="_Toc76632896"/>
      <w:r/>
      <w:bookmarkStart w:id="71" w:name="_Toc23208"/>
      <w:r/>
      <w:bookmarkStart w:id="72" w:name="_Toc256000030"/>
      <w:r/>
      <w:bookmarkStart w:id="73" w:name="_Toc8340"/>
      <w:r>
        <w:rPr>
          <w:rFonts w:hint="eastAsia" w:ascii="宋体" w:eastAsia="宋体"/>
          <w:b/>
          <w:bCs/>
          <w:color w:val="000000"/>
          <w:sz w:val="24"/>
          <w:szCs w:val="24"/>
          <w:highlight w:val="none"/>
        </w:rPr>
        <w:t xml:space="preserve">四、开标及评标</w:t>
      </w:r>
      <w:bookmarkEnd w:id="70"/>
      <w:r/>
      <w:bookmarkEnd w:id="71"/>
      <w:r/>
      <w:bookmarkEnd w:id="72"/>
      <w:r/>
      <w:bookmarkEnd w:id="73"/>
      <w:r>
        <w:rPr>
          <w:rFonts w:ascii="宋体" w:eastAsia="宋体"/>
          <w:color w:val="000000"/>
          <w:sz w:val="24"/>
          <w:szCs w:val="24"/>
          <w:highlight w:val="none"/>
        </w:rPr>
      </w:r>
      <w:r/>
    </w:p>
    <w:p>
      <w:pPr>
        <w:pStyle w:val="1337"/>
        <w:ind w:firstLine="446"/>
        <w:keepLines w:val="0"/>
        <w:keepNext w:val="0"/>
        <w:spacing w:before="200" w:after="200" w:line="360" w:lineRule="auto"/>
        <w:rPr>
          <w:color w:val="000000"/>
          <w:sz w:val="24"/>
          <w:szCs w:val="24"/>
          <w:highlight w:val="none"/>
        </w:rPr>
      </w:pPr>
      <w:r/>
      <w:bookmarkStart w:id="74" w:name="_Toc256000031"/>
      <w:r/>
      <w:bookmarkStart w:id="75" w:name="_Toc76632897"/>
      <w:r>
        <w:rPr>
          <w:rFonts w:hint="eastAsia"/>
          <w:color w:val="000000"/>
          <w:sz w:val="24"/>
          <w:szCs w:val="24"/>
          <w:highlight w:val="none"/>
        </w:rPr>
        <w:t xml:space="preserve">18．开标</w:t>
      </w:r>
      <w:bookmarkEnd w:id="74"/>
      <w:r/>
      <w:bookmarkEnd w:id="75"/>
      <w:r>
        <w:rPr>
          <w:color w:val="000000"/>
          <w:sz w:val="24"/>
          <w:szCs w:val="24"/>
          <w:highlight w:val="none"/>
        </w:rPr>
      </w:r>
      <w:r/>
    </w:p>
    <w:p>
      <w:pPr>
        <w:pStyle w:val="1131"/>
        <w:ind w:left="1" w:firstLine="480"/>
        <w:spacing w:line="360" w:lineRule="auto"/>
        <w:rPr>
          <w:color w:val="000000"/>
          <w:sz w:val="24"/>
          <w:szCs w:val="24"/>
          <w:highlight w:val="none"/>
        </w:rPr>
      </w:pPr>
      <w:r>
        <w:rPr>
          <w:rFonts w:hint="eastAsia"/>
          <w:color w:val="000000"/>
          <w:sz w:val="24"/>
          <w:szCs w:val="24"/>
          <w:highlight w:val="none"/>
        </w:rPr>
        <w:t xml:space="preserve">18.1招标组织方将按招标文件规定的时间、地点主持开标。</w:t>
      </w:r>
      <w:r>
        <w:rPr>
          <w:color w:val="000000"/>
          <w:sz w:val="24"/>
          <w:szCs w:val="24"/>
          <w:highlight w:val="none"/>
        </w:rPr>
      </w:r>
      <w:r/>
    </w:p>
    <w:p>
      <w:pPr>
        <w:pStyle w:val="1131"/>
        <w:ind w:left="1" w:firstLine="480"/>
        <w:spacing w:line="360" w:lineRule="auto"/>
        <w:rPr>
          <w:color w:val="000000"/>
          <w:sz w:val="24"/>
          <w:szCs w:val="24"/>
          <w:highlight w:val="none"/>
        </w:rPr>
      </w:pPr>
      <w:r>
        <w:rPr>
          <w:rFonts w:hint="eastAsia"/>
          <w:color w:val="000000"/>
          <w:sz w:val="24"/>
          <w:szCs w:val="24"/>
          <w:highlight w:val="none"/>
        </w:rPr>
        <w:t xml:space="preserve">18.2投标人应当在开标前做好充分准备，使用制作该投标文件的同一数字认证证书准时参加开标，请各投标人在开标时间前提前登录开标大厅做好准备。</w:t>
      </w:r>
      <w:r>
        <w:rPr>
          <w:color w:val="000000"/>
          <w:sz w:val="24"/>
          <w:szCs w:val="24"/>
          <w:highlight w:val="none"/>
        </w:rPr>
      </w:r>
      <w:r/>
    </w:p>
    <w:p>
      <w:pPr>
        <w:pStyle w:val="1131"/>
        <w:ind w:left="1" w:firstLine="482"/>
        <w:spacing w:line="360" w:lineRule="auto"/>
        <w:rPr>
          <w:b/>
          <w:color w:val="000000"/>
          <w:sz w:val="24"/>
          <w:szCs w:val="24"/>
          <w:highlight w:val="none"/>
        </w:rPr>
      </w:pPr>
      <w:r>
        <w:rPr>
          <w:rFonts w:hint="eastAsia"/>
          <w:b/>
          <w:color w:val="000000"/>
          <w:sz w:val="24"/>
          <w:szCs w:val="24"/>
          <w:highlight w:val="none"/>
        </w:rPr>
        <w:t xml:space="preserve">18.3投标人不足3家，不进入解密程序。</w:t>
      </w:r>
      <w:r>
        <w:rPr>
          <w:b/>
          <w:color w:val="000000"/>
          <w:sz w:val="24"/>
          <w:szCs w:val="24"/>
          <w:highlight w:val="none"/>
        </w:rPr>
      </w:r>
      <w:r/>
    </w:p>
    <w:p>
      <w:pPr>
        <w:pStyle w:val="1131"/>
        <w:ind w:left="1" w:firstLine="480"/>
        <w:spacing w:line="360" w:lineRule="auto"/>
        <w:rPr>
          <w:color w:val="000000"/>
          <w:sz w:val="24"/>
          <w:szCs w:val="24"/>
          <w:highlight w:val="none"/>
        </w:rPr>
      </w:pPr>
      <w:r>
        <w:rPr>
          <w:rFonts w:hint="eastAsia"/>
          <w:color w:val="000000"/>
          <w:sz w:val="24"/>
          <w:szCs w:val="24"/>
          <w:highlight w:val="none"/>
        </w:rPr>
        <w:t xml:space="preserve">18.4开标时，招标组织方将在系统内公布投标人名单，发出解密的指令，投标人自行实施解密，限定在主持人发布解密指令后30分钟内完成。解密时，投标人必须使用与制作投标文件时同一数字认证证书对投标文件进行解密，否则解密将会失败。</w:t>
      </w:r>
      <w:r>
        <w:rPr>
          <w:color w:val="000000"/>
          <w:sz w:val="24"/>
          <w:szCs w:val="24"/>
          <w:highlight w:val="none"/>
        </w:rPr>
      </w:r>
      <w:r/>
    </w:p>
    <w:p>
      <w:pPr>
        <w:pStyle w:val="1131"/>
        <w:ind w:left="2" w:firstLine="480"/>
        <w:spacing w:line="360" w:lineRule="auto"/>
        <w:rPr>
          <w:color w:val="000000"/>
          <w:sz w:val="24"/>
          <w:szCs w:val="24"/>
          <w:highlight w:val="none"/>
        </w:rPr>
      </w:pPr>
      <w:r>
        <w:rPr>
          <w:rFonts w:hint="eastAsia"/>
          <w:color w:val="000000"/>
          <w:sz w:val="24"/>
          <w:szCs w:val="24"/>
          <w:highlight w:val="none"/>
        </w:rPr>
        <w:t xml:space="preserve">18.5因投标人原因造成投标文件未解密或解密失败或无法正常打开投标文件的，招标组织方将拒绝其投标。部分投标人投标文件未解密或解密失败的，程序可以继续进行。</w:t>
      </w:r>
      <w:r>
        <w:rPr>
          <w:rFonts w:hint="eastAsia"/>
          <w:b/>
          <w:color w:val="000000"/>
          <w:sz w:val="24"/>
          <w:szCs w:val="24"/>
          <w:highlight w:val="none"/>
        </w:rPr>
        <w:t xml:space="preserve">若解密成功的投标人不足三家，不进入后续程序。</w:t>
      </w:r>
      <w:r>
        <w:rPr>
          <w:color w:val="000000"/>
          <w:sz w:val="24"/>
          <w:szCs w:val="24"/>
          <w:highlight w:val="none"/>
        </w:rPr>
      </w:r>
      <w:r/>
    </w:p>
    <w:p>
      <w:pPr>
        <w:pStyle w:val="1131"/>
        <w:ind w:left="1" w:firstLine="480"/>
        <w:spacing w:line="360" w:lineRule="auto"/>
        <w:rPr>
          <w:color w:val="000000"/>
          <w:sz w:val="24"/>
          <w:szCs w:val="24"/>
          <w:highlight w:val="none"/>
        </w:rPr>
      </w:pPr>
      <w:r>
        <w:rPr>
          <w:rFonts w:hint="eastAsia"/>
          <w:color w:val="000000"/>
          <w:sz w:val="24"/>
          <w:szCs w:val="24"/>
          <w:highlight w:val="none"/>
        </w:rPr>
        <w:t xml:space="preserve">18.6本项目在限定的解密时间内，只要有任一家投标人解密成功，即视为电子交易平台运行无故障。</w:t>
      </w:r>
      <w:r>
        <w:rPr>
          <w:color w:val="000000"/>
          <w:sz w:val="24"/>
          <w:szCs w:val="24"/>
          <w:highlight w:val="none"/>
        </w:rPr>
      </w:r>
      <w:r/>
    </w:p>
    <w:p>
      <w:pPr>
        <w:pStyle w:val="1131"/>
        <w:ind w:left="1" w:firstLine="480"/>
        <w:spacing w:line="360" w:lineRule="auto"/>
        <w:rPr>
          <w:color w:val="000000"/>
          <w:sz w:val="24"/>
          <w:szCs w:val="24"/>
          <w:highlight w:val="none"/>
        </w:rPr>
      </w:pPr>
      <w:r>
        <w:rPr>
          <w:rFonts w:hint="eastAsia"/>
          <w:color w:val="000000"/>
          <w:sz w:val="24"/>
          <w:szCs w:val="24"/>
          <w:highlight w:val="none"/>
        </w:rPr>
        <w:t xml:space="preserve">18.7电子投标文件解密全部完成后，按</w:t>
      </w:r>
      <w:r>
        <w:rPr>
          <w:rFonts w:hint="eastAsia"/>
          <w:b/>
          <w:color w:val="000000"/>
          <w:sz w:val="24"/>
          <w:szCs w:val="24"/>
          <w:highlight w:val="none"/>
        </w:rPr>
        <w:t xml:space="preserve">投标文件解密成功顺序</w:t>
      </w:r>
      <w:r>
        <w:rPr>
          <w:rFonts w:hint="eastAsia"/>
          <w:color w:val="000000"/>
          <w:sz w:val="24"/>
          <w:szCs w:val="24"/>
          <w:highlight w:val="none"/>
        </w:rPr>
        <w:t xml:space="preserve">向所有投标人宣布投标人名称、投标价格以及招标文件规定的其他内容。</w:t>
      </w:r>
      <w:r>
        <w:rPr>
          <w:color w:val="000000"/>
          <w:sz w:val="24"/>
          <w:szCs w:val="24"/>
          <w:highlight w:val="none"/>
        </w:rPr>
      </w:r>
      <w:r/>
    </w:p>
    <w:p>
      <w:pPr>
        <w:pStyle w:val="1131"/>
        <w:ind w:left="1" w:firstLine="480"/>
        <w:spacing w:line="360" w:lineRule="auto"/>
        <w:rPr>
          <w:color w:val="000000"/>
          <w:sz w:val="24"/>
          <w:szCs w:val="24"/>
          <w:highlight w:val="none"/>
        </w:rPr>
      </w:pPr>
      <w:r>
        <w:rPr>
          <w:rFonts w:hint="eastAsia"/>
          <w:color w:val="000000"/>
          <w:sz w:val="24"/>
          <w:szCs w:val="24"/>
          <w:highlight w:val="none"/>
        </w:rPr>
        <w:t xml:space="preserve">18.8电子交易平台自动记录开标过程，由参加开标的各投标人代表和相关工作人员确认开标结果。</w:t>
      </w:r>
      <w:r>
        <w:rPr>
          <w:color w:val="000000"/>
          <w:sz w:val="24"/>
          <w:szCs w:val="24"/>
          <w:highlight w:val="none"/>
        </w:rPr>
      </w:r>
      <w:r/>
    </w:p>
    <w:p>
      <w:pPr>
        <w:pStyle w:val="1131"/>
        <w:ind w:left="1" w:firstLine="480"/>
        <w:spacing w:line="360" w:lineRule="auto"/>
        <w:rPr>
          <w:color w:val="000000"/>
          <w:sz w:val="24"/>
          <w:szCs w:val="24"/>
          <w:highlight w:val="none"/>
        </w:rPr>
      </w:pPr>
      <w:r>
        <w:rPr>
          <w:rFonts w:hint="eastAsia"/>
          <w:color w:val="000000"/>
          <w:sz w:val="24"/>
          <w:szCs w:val="24"/>
          <w:highlight w:val="none"/>
        </w:rPr>
        <w:t xml:space="preserve">18.9投标人代表如对开标过程和开标记录有疑义，以及认为采购人、采购代理机构相关工作人员有需要回避的情形的，应在主持人发布确认指令后</w:t>
      </w:r>
      <w:bookmarkStart w:id="76" w:name="EB5dac70e5ef954246adda77d073500161"/>
      <w:r>
        <w:rPr>
          <w:rFonts w:hint="eastAsia"/>
          <w:color w:val="000000"/>
          <w:sz w:val="24"/>
          <w:szCs w:val="24"/>
          <w:highlight w:val="none"/>
        </w:rPr>
        <w:t xml:space="preserve">3分钟内提出</w:t>
      </w:r>
      <w:bookmarkEnd w:id="76"/>
      <w:r>
        <w:rPr>
          <w:rFonts w:hint="eastAsia"/>
          <w:color w:val="000000"/>
          <w:sz w:val="24"/>
          <w:szCs w:val="24"/>
          <w:highlight w:val="none"/>
        </w:rPr>
        <w:t xml:space="preserve">询问或者回避申请。采购人、采购代理机构将及时处理投标人代表提出的询问或者回避申请。如在规定时间内未提出，视同认可开标结果。</w:t>
      </w:r>
      <w:r>
        <w:rPr>
          <w:color w:val="000000"/>
          <w:sz w:val="24"/>
          <w:szCs w:val="24"/>
          <w:highlight w:val="none"/>
        </w:rPr>
      </w:r>
      <w:r/>
    </w:p>
    <w:p>
      <w:pPr>
        <w:pStyle w:val="1131"/>
        <w:ind w:left="1" w:firstLine="480"/>
        <w:spacing w:line="360" w:lineRule="auto"/>
        <w:rPr>
          <w:color w:val="000000"/>
          <w:sz w:val="24"/>
          <w:szCs w:val="24"/>
          <w:highlight w:val="none"/>
        </w:rPr>
      </w:pPr>
      <w:r>
        <w:rPr>
          <w:rFonts w:hint="eastAsia"/>
          <w:color w:val="000000"/>
          <w:sz w:val="24"/>
          <w:szCs w:val="24"/>
          <w:highlight w:val="none"/>
        </w:rPr>
        <w:t xml:space="preserve">18.10投标人须配合开标工作，否则一切后果由投标人自行承担。</w:t>
      </w:r>
      <w:r>
        <w:rPr>
          <w:color w:val="000000"/>
          <w:sz w:val="24"/>
          <w:szCs w:val="24"/>
          <w:highlight w:val="none"/>
        </w:rPr>
      </w:r>
      <w:r/>
    </w:p>
    <w:p>
      <w:pPr>
        <w:pStyle w:val="1337"/>
        <w:ind w:firstLine="446"/>
        <w:keepLines w:val="0"/>
        <w:keepNext w:val="0"/>
        <w:spacing w:before="200" w:after="200" w:line="360" w:lineRule="auto"/>
        <w:rPr>
          <w:color w:val="000000"/>
          <w:sz w:val="24"/>
          <w:szCs w:val="24"/>
          <w:highlight w:val="none"/>
        </w:rPr>
      </w:pPr>
      <w:r/>
      <w:bookmarkStart w:id="77" w:name="_Toc76632898"/>
      <w:r/>
      <w:bookmarkStart w:id="78" w:name="_Toc256000032"/>
      <w:r>
        <w:rPr>
          <w:rFonts w:hint="eastAsia"/>
          <w:color w:val="000000"/>
          <w:sz w:val="24"/>
          <w:szCs w:val="24"/>
          <w:highlight w:val="none"/>
        </w:rPr>
        <w:t xml:space="preserve">19．投标人资格审查</w:t>
      </w:r>
      <w:bookmarkEnd w:id="77"/>
      <w:r/>
      <w:bookmarkEnd w:id="78"/>
      <w:r>
        <w:rPr>
          <w:color w:val="000000"/>
          <w:sz w:val="24"/>
          <w:szCs w:val="24"/>
          <w:highlight w:val="none"/>
        </w:rPr>
      </w:r>
      <w:r/>
    </w:p>
    <w:p>
      <w:pPr>
        <w:pStyle w:val="1339"/>
        <w:ind w:firstLine="480"/>
        <w:spacing w:line="360" w:lineRule="auto"/>
        <w:rPr>
          <w:b/>
          <w:color w:val="000000"/>
          <w:sz w:val="24"/>
          <w:szCs w:val="24"/>
          <w:highlight w:val="none"/>
        </w:rPr>
      </w:pPr>
      <w:r>
        <w:rPr>
          <w:rFonts w:hint="eastAsia"/>
          <w:color w:val="000000"/>
          <w:sz w:val="24"/>
          <w:szCs w:val="24"/>
          <w:highlight w:val="none"/>
        </w:rPr>
        <w:t xml:space="preserve">19.1开标结束后，采购人或者采购代理机构将依法对投标人的资格进行审查。</w:t>
      </w:r>
      <w:r>
        <w:rPr>
          <w:rFonts w:hint="eastAsia"/>
          <w:b/>
          <w:color w:val="000000"/>
          <w:sz w:val="24"/>
          <w:szCs w:val="24"/>
          <w:highlight w:val="none"/>
        </w:rPr>
        <w:t xml:space="preserve">合格投标人不足3家的，不进入后续程序。</w:t>
      </w:r>
      <w:r>
        <w:rPr>
          <w:b/>
          <w:color w:val="000000"/>
          <w:sz w:val="24"/>
          <w:szCs w:val="24"/>
          <w:highlight w:val="none"/>
        </w:rPr>
      </w:r>
      <w:r/>
    </w:p>
    <w:p>
      <w:pPr>
        <w:pStyle w:val="1337"/>
        <w:ind w:firstLine="446"/>
        <w:keepLines w:val="0"/>
        <w:keepNext w:val="0"/>
        <w:spacing w:before="200" w:after="200" w:line="360" w:lineRule="auto"/>
        <w:rPr>
          <w:color w:val="000000"/>
          <w:sz w:val="24"/>
          <w:szCs w:val="24"/>
          <w:highlight w:val="none"/>
        </w:rPr>
      </w:pPr>
      <w:r/>
      <w:bookmarkStart w:id="79" w:name="_Toc256000033"/>
      <w:r/>
      <w:bookmarkStart w:id="80" w:name="_Toc76632899"/>
      <w:r>
        <w:rPr>
          <w:rFonts w:hint="eastAsia"/>
          <w:color w:val="000000"/>
          <w:sz w:val="24"/>
          <w:szCs w:val="24"/>
          <w:highlight w:val="none"/>
        </w:rPr>
        <w:t xml:space="preserve">20．评标委员会组成</w:t>
      </w:r>
      <w:bookmarkEnd w:id="79"/>
      <w:r/>
      <w:bookmarkEnd w:id="80"/>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20.1评标委员会将由采购人代表和评审专家组成，成员人数为5人或5人以上单数，其中评审专家不得少于成员总数的三分之二。</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评标委员会成员名单在评标结果公告前应当保密。</w:t>
      </w:r>
      <w:r>
        <w:rPr>
          <w:color w:val="000000"/>
          <w:sz w:val="24"/>
          <w:szCs w:val="24"/>
          <w:highlight w:val="none"/>
        </w:rPr>
      </w:r>
      <w:r/>
    </w:p>
    <w:p>
      <w:pPr>
        <w:pStyle w:val="1337"/>
        <w:ind w:firstLine="446"/>
        <w:keepLines w:val="0"/>
        <w:keepNext w:val="0"/>
        <w:spacing w:before="200" w:after="200" w:line="360" w:lineRule="auto"/>
        <w:rPr>
          <w:color w:val="000000"/>
          <w:sz w:val="24"/>
          <w:szCs w:val="24"/>
          <w:highlight w:val="none"/>
        </w:rPr>
      </w:pPr>
      <w:r/>
      <w:bookmarkStart w:id="81" w:name="_Toc256000034"/>
      <w:r/>
      <w:bookmarkStart w:id="82" w:name="_Toc76632900"/>
      <w:r>
        <w:rPr>
          <w:rFonts w:hint="eastAsia"/>
          <w:color w:val="000000"/>
          <w:sz w:val="24"/>
          <w:szCs w:val="24"/>
          <w:highlight w:val="none"/>
        </w:rPr>
        <w:t xml:space="preserve">21．投标人符合性审查</w:t>
      </w:r>
      <w:bookmarkEnd w:id="81"/>
      <w:r/>
      <w:bookmarkEnd w:id="82"/>
      <w:r>
        <w:rPr>
          <w:color w:val="000000"/>
          <w:sz w:val="24"/>
          <w:szCs w:val="24"/>
          <w:highlight w:val="none"/>
        </w:rPr>
      </w:r>
      <w:r/>
    </w:p>
    <w:p>
      <w:pPr>
        <w:pStyle w:val="1339"/>
        <w:ind w:firstLine="480"/>
        <w:spacing w:line="360" w:lineRule="auto"/>
        <w:rPr>
          <w:b/>
          <w:color w:val="000000"/>
          <w:sz w:val="24"/>
          <w:szCs w:val="24"/>
          <w:highlight w:val="none"/>
        </w:rPr>
      </w:pPr>
      <w:r>
        <w:rPr>
          <w:rFonts w:hint="eastAsia"/>
          <w:color w:val="000000"/>
          <w:sz w:val="24"/>
          <w:szCs w:val="24"/>
          <w:highlight w:val="none"/>
        </w:rPr>
        <w:t xml:space="preserve">21.1评标委员会将按照招标文件第五部分“评标办法和标准”第7项规定对通过资格审查的投标人的投标文件进行符合性审查，以确定是否满足招标文件的实质性要求。</w:t>
      </w:r>
      <w:r>
        <w:rPr>
          <w:rFonts w:hint="eastAsia"/>
          <w:b/>
          <w:color w:val="000000"/>
          <w:sz w:val="24"/>
          <w:szCs w:val="24"/>
          <w:highlight w:val="none"/>
        </w:rPr>
        <w:t xml:space="preserve">符合性审查合格投标人不足3家的，不进入详细评审环节。</w:t>
      </w:r>
      <w:r>
        <w:rPr>
          <w:b/>
          <w:color w:val="000000"/>
          <w:sz w:val="24"/>
          <w:szCs w:val="24"/>
          <w:highlight w:val="none"/>
        </w:rPr>
      </w:r>
      <w:r/>
    </w:p>
    <w:p>
      <w:pPr>
        <w:pStyle w:val="1339"/>
        <w:ind w:firstLine="480"/>
        <w:spacing w:line="360" w:lineRule="auto"/>
        <w:rPr>
          <w:color w:val="000000"/>
          <w:sz w:val="24"/>
          <w:szCs w:val="24"/>
          <w:highlight w:val="none"/>
        </w:rPr>
      </w:pPr>
      <w:r>
        <w:rPr>
          <w:rFonts w:hint="eastAsia"/>
          <w:color w:val="000000"/>
          <w:sz w:val="24"/>
          <w:szCs w:val="24"/>
          <w:highlight w:val="none"/>
        </w:rPr>
        <w:t xml:space="preserve">21.2投标文件澄清</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21.3</w:t>
      </w:r>
      <w:r>
        <w:rPr>
          <w:rFonts w:hint="eastAsia"/>
          <w:b/>
          <w:color w:val="000000"/>
          <w:sz w:val="24"/>
          <w:szCs w:val="24"/>
          <w:highlight w:val="none"/>
        </w:rPr>
        <w:t xml:space="preserve">开标至评标结束期间，投标人应保持系统在线，如因投标人自身原因未在规定时间内按评标委员会要求进行澄清、说明或者补正的，一切后果由投标人自行承担。</w:t>
      </w:r>
      <w:r>
        <w:rPr>
          <w:color w:val="000000"/>
          <w:sz w:val="24"/>
          <w:szCs w:val="24"/>
          <w:highlight w:val="none"/>
        </w:rPr>
      </w:r>
      <w:r/>
    </w:p>
    <w:p>
      <w:pPr>
        <w:pStyle w:val="1337"/>
        <w:ind w:firstLine="446"/>
        <w:keepLines w:val="0"/>
        <w:keepNext w:val="0"/>
        <w:spacing w:before="200" w:after="200" w:line="360" w:lineRule="auto"/>
        <w:rPr>
          <w:color w:val="000000"/>
          <w:sz w:val="24"/>
          <w:szCs w:val="24"/>
          <w:highlight w:val="none"/>
        </w:rPr>
      </w:pPr>
      <w:r/>
      <w:bookmarkStart w:id="83" w:name="_Toc256000035"/>
      <w:r/>
      <w:bookmarkStart w:id="84" w:name="_Toc76632901"/>
      <w:r>
        <w:rPr>
          <w:rFonts w:hint="eastAsia"/>
          <w:color w:val="000000"/>
          <w:sz w:val="24"/>
          <w:szCs w:val="24"/>
          <w:highlight w:val="none"/>
        </w:rPr>
        <w:t xml:space="preserve">22．无效投标的情形</w:t>
      </w:r>
      <w:bookmarkEnd w:id="83"/>
      <w:r/>
      <w:bookmarkEnd w:id="84"/>
      <w:r>
        <w:rPr>
          <w:color w:val="000000"/>
          <w:sz w:val="24"/>
          <w:szCs w:val="24"/>
          <w:highlight w:val="none"/>
        </w:rPr>
      </w:r>
      <w:r/>
    </w:p>
    <w:p>
      <w:pPr>
        <w:pStyle w:val="1339"/>
        <w:ind w:firstLine="480"/>
        <w:spacing w:line="360" w:lineRule="auto"/>
        <w:rPr>
          <w:color w:val="000000"/>
          <w:sz w:val="24"/>
          <w:szCs w:val="24"/>
          <w:highlight w:val="none"/>
        </w:rPr>
      </w:pPr>
      <w:r>
        <w:rPr>
          <w:rFonts w:hint="eastAsia"/>
          <w:color w:val="000000"/>
          <w:sz w:val="24"/>
          <w:szCs w:val="24"/>
          <w:highlight w:val="none"/>
        </w:rPr>
        <w:t xml:space="preserve">22.1无效投标的情形见本招标文件第五部分“评标办法和标准”第7项规定。</w:t>
      </w:r>
      <w:r>
        <w:rPr>
          <w:color w:val="000000"/>
          <w:sz w:val="24"/>
          <w:szCs w:val="24"/>
          <w:highlight w:val="none"/>
        </w:rPr>
      </w:r>
      <w:r/>
    </w:p>
    <w:p>
      <w:pPr>
        <w:pStyle w:val="1337"/>
        <w:ind w:firstLine="446"/>
        <w:keepLines w:val="0"/>
        <w:keepNext w:val="0"/>
        <w:spacing w:before="200" w:after="200" w:line="360" w:lineRule="auto"/>
        <w:rPr>
          <w:color w:val="000000"/>
          <w:sz w:val="24"/>
          <w:szCs w:val="24"/>
          <w:highlight w:val="none"/>
        </w:rPr>
      </w:pPr>
      <w:r/>
      <w:bookmarkStart w:id="85" w:name="_Toc256000036"/>
      <w:r/>
      <w:bookmarkStart w:id="86" w:name="_Toc76632902"/>
      <w:r>
        <w:rPr>
          <w:rFonts w:hint="eastAsia"/>
          <w:color w:val="000000"/>
          <w:sz w:val="24"/>
          <w:szCs w:val="24"/>
          <w:highlight w:val="none"/>
        </w:rPr>
        <w:t xml:space="preserve">23．投标文件详细评审</w:t>
      </w:r>
      <w:bookmarkEnd w:id="85"/>
      <w:r/>
      <w:bookmarkEnd w:id="86"/>
      <w:r>
        <w:rPr>
          <w:color w:val="000000"/>
          <w:sz w:val="24"/>
          <w:szCs w:val="24"/>
          <w:highlight w:val="none"/>
        </w:rPr>
      </w:r>
      <w:r/>
    </w:p>
    <w:p>
      <w:pPr>
        <w:pStyle w:val="1131"/>
        <w:ind w:left="1" w:firstLine="480"/>
        <w:spacing w:line="360" w:lineRule="auto"/>
        <w:rPr>
          <w:color w:val="000000"/>
          <w:sz w:val="24"/>
          <w:szCs w:val="24"/>
          <w:highlight w:val="none"/>
        </w:rPr>
      </w:pPr>
      <w:r>
        <w:rPr>
          <w:rFonts w:hint="eastAsia"/>
          <w:color w:val="000000"/>
          <w:sz w:val="24"/>
          <w:szCs w:val="24"/>
          <w:highlight w:val="none"/>
        </w:rPr>
        <w:t xml:space="preserve">23.1评标委员会将按照招标文件第五部分“评标办法和标准”第8项规定，对符合性审查合格的投标文件进行商务、技术和价格评估，综合比较与评价。</w:t>
      </w:r>
      <w:r>
        <w:rPr>
          <w:color w:val="000000"/>
          <w:sz w:val="24"/>
          <w:szCs w:val="24"/>
          <w:highlight w:val="none"/>
        </w:rPr>
      </w:r>
      <w:r/>
    </w:p>
    <w:p>
      <w:pPr>
        <w:pStyle w:val="1337"/>
        <w:ind w:firstLine="446"/>
        <w:keepLines w:val="0"/>
        <w:keepNext w:val="0"/>
        <w:spacing w:before="200" w:after="200" w:line="360" w:lineRule="auto"/>
        <w:rPr>
          <w:color w:val="000000"/>
          <w:sz w:val="24"/>
          <w:szCs w:val="24"/>
          <w:highlight w:val="none"/>
        </w:rPr>
      </w:pPr>
      <w:r/>
      <w:bookmarkStart w:id="87" w:name="_Toc256000037"/>
      <w:r/>
      <w:bookmarkStart w:id="88" w:name="_Toc76632903"/>
      <w:r>
        <w:rPr>
          <w:rFonts w:hint="eastAsia"/>
          <w:color w:val="000000"/>
          <w:sz w:val="24"/>
          <w:szCs w:val="24"/>
          <w:highlight w:val="none"/>
        </w:rPr>
        <w:t xml:space="preserve">24．串通投标的情形</w:t>
      </w:r>
      <w:bookmarkEnd w:id="87"/>
      <w:r/>
      <w:bookmarkEnd w:id="88"/>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24.1有下列情形之一的，视为投标人串通投标，投标无效：</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（1）不同投标人的投标文件由同一单位或者个人编制；</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（2）不同投标人委托同一单位或者个人办理投标事宜；</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（3）不同投标人的投标文件载明的项目管理成员或者联系人员为同一人；</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（4）不同投标人的投标文件异常一致或者投标报价呈规律性差异；</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（5）不同投标人的投标文件相互混装。</w:t>
      </w:r>
      <w:r>
        <w:rPr>
          <w:color w:val="000000"/>
          <w:sz w:val="24"/>
          <w:szCs w:val="24"/>
          <w:highlight w:val="none"/>
        </w:rPr>
      </w:r>
      <w:r/>
    </w:p>
    <w:p>
      <w:pPr>
        <w:pStyle w:val="1337"/>
        <w:ind w:firstLine="446"/>
        <w:keepLines w:val="0"/>
        <w:keepNext w:val="0"/>
        <w:spacing w:before="200" w:after="200" w:line="360" w:lineRule="auto"/>
        <w:rPr>
          <w:color w:val="000000"/>
          <w:sz w:val="24"/>
          <w:szCs w:val="24"/>
          <w:highlight w:val="none"/>
        </w:rPr>
      </w:pPr>
      <w:r/>
      <w:bookmarkStart w:id="89" w:name="_Toc76632904"/>
      <w:r/>
      <w:bookmarkStart w:id="90" w:name="_Toc256000038"/>
      <w:r>
        <w:rPr>
          <w:rFonts w:hint="eastAsia"/>
          <w:color w:val="000000"/>
          <w:sz w:val="24"/>
          <w:szCs w:val="24"/>
          <w:highlight w:val="none"/>
        </w:rPr>
        <w:t xml:space="preserve">25．评标过程的保密</w:t>
      </w:r>
      <w:bookmarkEnd w:id="89"/>
      <w:r/>
      <w:bookmarkEnd w:id="90"/>
      <w:r>
        <w:rPr>
          <w:color w:val="000000"/>
          <w:sz w:val="24"/>
          <w:szCs w:val="24"/>
          <w:highlight w:val="none"/>
        </w:rPr>
      </w:r>
      <w:r/>
    </w:p>
    <w:p>
      <w:pPr>
        <w:pStyle w:val="1131"/>
        <w:ind w:left="1" w:firstLine="480"/>
        <w:spacing w:line="360" w:lineRule="auto"/>
        <w:rPr>
          <w:color w:val="000000"/>
          <w:sz w:val="24"/>
          <w:szCs w:val="24"/>
          <w:highlight w:val="none"/>
        </w:rPr>
      </w:pPr>
      <w:r>
        <w:rPr>
          <w:rFonts w:hint="eastAsia"/>
          <w:color w:val="000000"/>
          <w:sz w:val="24"/>
          <w:szCs w:val="24"/>
          <w:highlight w:val="none"/>
        </w:rPr>
        <w:t xml:space="preserve">25.1在评标过程中，如果投标人试图在投标文件审查、澄清、比较及授标建议等方面向招标组织方或参加评标的人员施加任何影响，都将会导致其投标无效。</w:t>
      </w:r>
      <w:r>
        <w:rPr>
          <w:color w:val="000000"/>
          <w:sz w:val="24"/>
          <w:szCs w:val="24"/>
          <w:highlight w:val="none"/>
        </w:rPr>
      </w:r>
      <w:r/>
    </w:p>
    <w:p>
      <w:pPr>
        <w:pStyle w:val="1131"/>
        <w:ind w:left="1" w:firstLine="480"/>
        <w:spacing w:line="360" w:lineRule="auto"/>
        <w:rPr>
          <w:color w:val="000000"/>
          <w:sz w:val="24"/>
          <w:szCs w:val="24"/>
          <w:highlight w:val="none"/>
          <w:u w:val="single"/>
        </w:rPr>
      </w:pPr>
      <w:r>
        <w:rPr>
          <w:rFonts w:hint="eastAsia"/>
          <w:color w:val="000000"/>
          <w:sz w:val="24"/>
          <w:szCs w:val="24"/>
          <w:highlight w:val="none"/>
        </w:rPr>
        <w:t xml:space="preserve">25.2</w:t>
      </w:r>
      <w:r>
        <w:rPr>
          <w:rFonts w:hint="eastAsia"/>
          <w:b/>
          <w:color w:val="000000"/>
          <w:sz w:val="24"/>
          <w:szCs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color w:val="000000"/>
          <w:sz w:val="24"/>
          <w:szCs w:val="24"/>
          <w:highlight w:val="none"/>
          <w:u w:val="single"/>
        </w:rPr>
      </w:r>
      <w:r/>
    </w:p>
    <w:p>
      <w:pPr>
        <w:pStyle w:val="1337"/>
        <w:ind w:firstLine="446"/>
        <w:keepLines w:val="0"/>
        <w:keepNext w:val="0"/>
        <w:spacing w:before="200" w:after="200" w:line="360" w:lineRule="auto"/>
        <w:rPr>
          <w:color w:val="000000"/>
          <w:sz w:val="24"/>
          <w:szCs w:val="24"/>
          <w:highlight w:val="none"/>
        </w:rPr>
      </w:pPr>
      <w:r/>
      <w:bookmarkStart w:id="91" w:name="_Toc256000039"/>
      <w:r/>
      <w:bookmarkStart w:id="92" w:name="_Toc76632905"/>
      <w:r>
        <w:rPr>
          <w:rFonts w:hint="eastAsia"/>
          <w:color w:val="000000"/>
          <w:sz w:val="24"/>
          <w:szCs w:val="24"/>
          <w:highlight w:val="none"/>
        </w:rPr>
        <w:t xml:space="preserve">26．废标的情形</w:t>
      </w:r>
      <w:bookmarkEnd w:id="91"/>
      <w:r/>
      <w:bookmarkEnd w:id="92"/>
      <w:r>
        <w:rPr>
          <w:color w:val="000000"/>
          <w:sz w:val="24"/>
          <w:szCs w:val="24"/>
          <w:highlight w:val="none"/>
        </w:rPr>
      </w:r>
      <w:r/>
    </w:p>
    <w:p>
      <w:pPr>
        <w:pStyle w:val="1131"/>
        <w:ind w:left="1" w:firstLine="480"/>
        <w:spacing w:line="360" w:lineRule="auto"/>
        <w:rPr>
          <w:color w:val="000000"/>
          <w:sz w:val="24"/>
          <w:szCs w:val="24"/>
          <w:highlight w:val="none"/>
        </w:rPr>
      </w:pPr>
      <w:r>
        <w:rPr>
          <w:rFonts w:hint="eastAsia"/>
          <w:color w:val="000000"/>
          <w:sz w:val="24"/>
          <w:szCs w:val="24"/>
          <w:highlight w:val="none"/>
        </w:rPr>
        <w:t xml:space="preserve">26.1出现下列情形之一的，将予废标：</w:t>
      </w:r>
      <w:r>
        <w:rPr>
          <w:color w:val="000000"/>
          <w:sz w:val="24"/>
          <w:szCs w:val="24"/>
          <w:highlight w:val="none"/>
        </w:rPr>
      </w:r>
      <w:r/>
    </w:p>
    <w:p>
      <w:pPr>
        <w:pStyle w:val="1131"/>
        <w:ind w:left="1" w:firstLine="480"/>
        <w:spacing w:line="360" w:lineRule="auto"/>
        <w:rPr>
          <w:color w:val="000000"/>
          <w:sz w:val="24"/>
          <w:szCs w:val="24"/>
          <w:highlight w:val="none"/>
        </w:rPr>
      </w:pPr>
      <w:r>
        <w:rPr>
          <w:rFonts w:hint="eastAsia"/>
          <w:color w:val="000000"/>
          <w:sz w:val="24"/>
          <w:szCs w:val="24"/>
          <w:highlight w:val="none"/>
        </w:rPr>
        <w:t xml:space="preserve">（1）符合专业条件的投标人或者对招标文件作实质响应的投标人不足三家的；</w:t>
      </w:r>
      <w:r>
        <w:rPr>
          <w:color w:val="000000"/>
          <w:sz w:val="24"/>
          <w:szCs w:val="24"/>
          <w:highlight w:val="none"/>
        </w:rPr>
      </w:r>
      <w:r/>
    </w:p>
    <w:p>
      <w:pPr>
        <w:pStyle w:val="1131"/>
        <w:ind w:left="1" w:firstLine="480"/>
        <w:spacing w:line="360" w:lineRule="auto"/>
        <w:rPr>
          <w:color w:val="000000"/>
          <w:sz w:val="24"/>
          <w:szCs w:val="24"/>
          <w:highlight w:val="none"/>
        </w:rPr>
      </w:pPr>
      <w:r>
        <w:rPr>
          <w:rFonts w:hint="eastAsia"/>
          <w:color w:val="000000"/>
          <w:sz w:val="24"/>
          <w:szCs w:val="24"/>
          <w:highlight w:val="none"/>
        </w:rPr>
        <w:t xml:space="preserve">（2）出现影响采购公正的违法、违规行为的；</w:t>
      </w:r>
      <w:r>
        <w:rPr>
          <w:color w:val="000000"/>
          <w:sz w:val="24"/>
          <w:szCs w:val="24"/>
          <w:highlight w:val="none"/>
        </w:rPr>
      </w:r>
      <w:r/>
    </w:p>
    <w:p>
      <w:pPr>
        <w:pStyle w:val="1131"/>
        <w:ind w:left="1" w:firstLine="480"/>
        <w:spacing w:line="360" w:lineRule="auto"/>
        <w:rPr>
          <w:color w:val="000000"/>
          <w:sz w:val="24"/>
          <w:szCs w:val="24"/>
          <w:highlight w:val="none"/>
        </w:rPr>
      </w:pPr>
      <w:r>
        <w:rPr>
          <w:rFonts w:hint="eastAsia"/>
          <w:color w:val="000000"/>
          <w:sz w:val="24"/>
          <w:szCs w:val="24"/>
          <w:highlight w:val="none"/>
        </w:rPr>
        <w:t xml:space="preserve">（3）投标人的报价均超过了采购预算，采购人不能支付的；</w:t>
      </w:r>
      <w:r>
        <w:rPr>
          <w:color w:val="000000"/>
          <w:sz w:val="24"/>
          <w:szCs w:val="24"/>
          <w:highlight w:val="none"/>
        </w:rPr>
      </w:r>
      <w:r/>
    </w:p>
    <w:p>
      <w:pPr>
        <w:pStyle w:val="1131"/>
        <w:ind w:left="1" w:firstLine="480"/>
        <w:spacing w:line="360" w:lineRule="auto"/>
        <w:rPr>
          <w:color w:val="000000"/>
          <w:sz w:val="24"/>
          <w:szCs w:val="24"/>
          <w:highlight w:val="none"/>
        </w:rPr>
      </w:pPr>
      <w:r>
        <w:rPr>
          <w:rFonts w:hint="eastAsia"/>
          <w:color w:val="000000"/>
          <w:sz w:val="24"/>
          <w:szCs w:val="24"/>
          <w:highlight w:val="none"/>
        </w:rPr>
        <w:t xml:space="preserve">（4）因重大变故，采购任务取消的；</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废标后，采购人应当将废标理由通知所有投标人。</w:t>
      </w:r>
      <w:r>
        <w:rPr>
          <w:color w:val="000000"/>
          <w:sz w:val="24"/>
          <w:szCs w:val="24"/>
          <w:highlight w:val="none"/>
        </w:rPr>
      </w:r>
      <w:r/>
    </w:p>
    <w:p>
      <w:pPr>
        <w:pStyle w:val="1131"/>
        <w:ind w:firstLine="480"/>
        <w:spacing w:line="360" w:lineRule="auto"/>
        <w:rPr>
          <w:color w:val="000000"/>
          <w:sz w:val="24"/>
          <w:szCs w:val="24"/>
          <w:highlight w:val="none"/>
        </w:rPr>
      </w:pPr>
      <w:r>
        <w:rPr>
          <w:color w:val="000000"/>
          <w:sz w:val="24"/>
          <w:szCs w:val="24"/>
          <w:highlight w:val="none"/>
        </w:rPr>
      </w:r>
      <w:r/>
    </w:p>
    <w:p>
      <w:pPr>
        <w:pStyle w:val="1699"/>
        <w:jc w:val="center"/>
        <w:tabs>
          <w:tab w:val="left" w:pos="567" w:leader="none"/>
        </w:tabs>
        <w:rPr>
          <w:rFonts w:ascii="宋体" w:eastAsia="宋体"/>
          <w:b/>
          <w:bCs/>
          <w:color w:val="000000"/>
          <w:sz w:val="24"/>
          <w:szCs w:val="24"/>
          <w:highlight w:val="none"/>
        </w:rPr>
      </w:pPr>
      <w:r/>
      <w:bookmarkStart w:id="93" w:name="_Toc76632906"/>
      <w:r/>
      <w:bookmarkStart w:id="94" w:name="_Toc11300"/>
      <w:r/>
      <w:bookmarkStart w:id="95" w:name="_Toc10351"/>
      <w:r/>
      <w:bookmarkStart w:id="96" w:name="_Toc256000040"/>
      <w:r>
        <w:rPr>
          <w:rFonts w:hint="eastAsia" w:ascii="宋体" w:eastAsia="宋体"/>
          <w:b/>
          <w:bCs/>
          <w:color w:val="000000"/>
          <w:sz w:val="24"/>
          <w:szCs w:val="24"/>
          <w:highlight w:val="none"/>
        </w:rPr>
        <w:t xml:space="preserve">五、确定结果</w:t>
      </w:r>
      <w:bookmarkEnd w:id="93"/>
      <w:r/>
      <w:bookmarkEnd w:id="94"/>
      <w:r/>
      <w:bookmarkEnd w:id="95"/>
      <w:r/>
      <w:bookmarkEnd w:id="96"/>
      <w:r>
        <w:rPr>
          <w:rFonts w:ascii="宋体" w:eastAsia="宋体"/>
          <w:b/>
          <w:bCs/>
          <w:color w:val="000000"/>
          <w:sz w:val="24"/>
          <w:szCs w:val="24"/>
          <w:highlight w:val="none"/>
        </w:rPr>
      </w:r>
      <w:r/>
    </w:p>
    <w:p>
      <w:pPr>
        <w:pStyle w:val="1131"/>
        <w:ind w:firstLine="446"/>
        <w:spacing w:line="360" w:lineRule="auto"/>
        <w:rPr>
          <w:b/>
          <w:bCs/>
          <w:color w:val="000000"/>
          <w:sz w:val="24"/>
          <w:szCs w:val="24"/>
          <w:highlight w:val="none"/>
        </w:rPr>
        <w:outlineLvl w:val="2"/>
      </w:pPr>
      <w:r>
        <w:rPr>
          <w:rFonts w:hint="eastAsia"/>
          <w:b/>
          <w:bCs/>
          <w:color w:val="000000"/>
          <w:sz w:val="24"/>
          <w:szCs w:val="24"/>
          <w:highlight w:val="none"/>
        </w:rPr>
        <w:t xml:space="preserve">27</w:t>
      </w:r>
      <w:r>
        <w:rPr>
          <w:rFonts w:hint="eastAsia"/>
          <w:color w:val="000000"/>
          <w:sz w:val="24"/>
          <w:szCs w:val="24"/>
          <w:highlight w:val="none"/>
        </w:rPr>
        <w:t xml:space="preserve">．</w:t>
      </w:r>
      <w:r>
        <w:rPr>
          <w:rFonts w:hint="eastAsia"/>
          <w:b/>
          <w:bCs/>
          <w:color w:val="000000"/>
          <w:sz w:val="24"/>
          <w:szCs w:val="24"/>
          <w:highlight w:val="none"/>
        </w:rPr>
        <w:t xml:space="preserve">确定中标人</w:t>
      </w:r>
      <w:r>
        <w:rPr>
          <w:b/>
          <w:bCs/>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27.1采购代理机构在评标结束后2个工作日内将评标报告送采购人。</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27.2采购人自收到评标报告之日起5个工作日内，在评标报告确定的中标候选人名单中按顺序确定中标人。中标候选人并列的，按《政府采购货物和服务招标投标管理办法》（财政部87号令）相关规定执行。</w:t>
      </w:r>
      <w:r>
        <w:rPr>
          <w:color w:val="000000"/>
          <w:sz w:val="24"/>
          <w:szCs w:val="24"/>
          <w:highlight w:val="none"/>
        </w:rPr>
      </w:r>
      <w:r/>
    </w:p>
    <w:p>
      <w:pPr>
        <w:pStyle w:val="1131"/>
        <w:ind w:firstLine="480"/>
        <w:spacing w:line="360" w:lineRule="auto"/>
        <w:rPr>
          <w:color w:val="000000"/>
          <w:sz w:val="24"/>
          <w:szCs w:val="24"/>
          <w:highlight w:val="none"/>
        </w:rPr>
      </w:pPr>
      <w:r>
        <w:rPr>
          <w:color w:val="000000"/>
          <w:sz w:val="24"/>
          <w:szCs w:val="24"/>
          <w:highlight w:val="none"/>
        </w:rPr>
      </w:r>
      <w:r/>
    </w:p>
    <w:p>
      <w:pPr>
        <w:pStyle w:val="1699"/>
        <w:jc w:val="center"/>
        <w:tabs>
          <w:tab w:val="left" w:pos="567" w:leader="none"/>
        </w:tabs>
        <w:rPr>
          <w:rFonts w:ascii="宋体" w:eastAsia="宋体"/>
          <w:color w:val="000000"/>
          <w:sz w:val="24"/>
          <w:szCs w:val="24"/>
          <w:highlight w:val="none"/>
        </w:rPr>
      </w:pPr>
      <w:r/>
      <w:bookmarkStart w:id="97" w:name="_Toc17355"/>
      <w:r/>
      <w:bookmarkStart w:id="98" w:name="_Toc76632907"/>
      <w:r/>
      <w:bookmarkStart w:id="99" w:name="_Toc256000041"/>
      <w:r/>
      <w:bookmarkStart w:id="100" w:name="_Toc11959"/>
      <w:r>
        <w:rPr>
          <w:rFonts w:hint="eastAsia" w:ascii="宋体" w:eastAsia="宋体"/>
          <w:b/>
          <w:bCs/>
          <w:color w:val="000000"/>
          <w:sz w:val="24"/>
          <w:szCs w:val="24"/>
          <w:highlight w:val="none"/>
        </w:rPr>
        <w:t xml:space="preserve">六、授予合同</w:t>
      </w:r>
      <w:bookmarkEnd w:id="97"/>
      <w:r/>
      <w:bookmarkEnd w:id="98"/>
      <w:r/>
      <w:bookmarkEnd w:id="99"/>
      <w:r/>
      <w:bookmarkEnd w:id="100"/>
      <w:r>
        <w:rPr>
          <w:rFonts w:ascii="宋体" w:eastAsia="宋体"/>
          <w:color w:val="000000"/>
          <w:sz w:val="24"/>
          <w:szCs w:val="24"/>
          <w:highlight w:val="none"/>
        </w:rPr>
      </w:r>
      <w:r/>
    </w:p>
    <w:p>
      <w:pPr>
        <w:pStyle w:val="1337"/>
        <w:ind w:firstLine="446"/>
        <w:keepLines w:val="0"/>
        <w:keepNext w:val="0"/>
        <w:spacing w:before="200" w:after="200" w:line="360" w:lineRule="auto"/>
        <w:rPr>
          <w:color w:val="000000"/>
          <w:sz w:val="24"/>
          <w:szCs w:val="24"/>
          <w:highlight w:val="none"/>
        </w:rPr>
      </w:pPr>
      <w:r/>
      <w:bookmarkStart w:id="101" w:name="_Toc76632908"/>
      <w:r/>
      <w:bookmarkStart w:id="102" w:name="_Toc256000042"/>
      <w:r>
        <w:rPr>
          <w:rFonts w:hint="eastAsia"/>
          <w:color w:val="000000"/>
          <w:sz w:val="24"/>
          <w:szCs w:val="24"/>
          <w:highlight w:val="none"/>
        </w:rPr>
        <w:t xml:space="preserve">28．中标通知书</w:t>
      </w:r>
      <w:bookmarkEnd w:id="101"/>
      <w:r/>
      <w:bookmarkEnd w:id="102"/>
      <w:r>
        <w:rPr>
          <w:color w:val="000000"/>
          <w:sz w:val="24"/>
          <w:szCs w:val="24"/>
          <w:highlight w:val="none"/>
        </w:rPr>
      </w:r>
      <w:r/>
    </w:p>
    <w:p>
      <w:pPr>
        <w:pStyle w:val="1339"/>
        <w:ind w:firstLine="480"/>
        <w:spacing w:line="360" w:lineRule="auto"/>
        <w:rPr>
          <w:color w:val="000000"/>
          <w:sz w:val="24"/>
          <w:szCs w:val="24"/>
          <w:highlight w:val="none"/>
        </w:rPr>
      </w:pPr>
      <w:r>
        <w:rPr>
          <w:rFonts w:hint="eastAsia"/>
          <w:color w:val="000000"/>
          <w:sz w:val="24"/>
          <w:szCs w:val="24"/>
          <w:highlight w:val="none"/>
        </w:rPr>
        <w:t xml:space="preserve">28.1 自中标人确定之日起2个工作日内，采购代理机构向中标人发出中标通知书，同时编制发布采购结果公告。</w:t>
      </w:r>
      <w:r>
        <w:rPr>
          <w:color w:val="000000"/>
          <w:sz w:val="24"/>
          <w:szCs w:val="24"/>
          <w:highlight w:val="none"/>
        </w:rPr>
      </w:r>
      <w:r/>
    </w:p>
    <w:p>
      <w:pPr>
        <w:pStyle w:val="1339"/>
        <w:ind w:firstLine="480"/>
        <w:spacing w:line="360" w:lineRule="auto"/>
        <w:rPr>
          <w:b/>
          <w:color w:val="000000"/>
          <w:sz w:val="24"/>
          <w:szCs w:val="24"/>
          <w:highlight w:val="none"/>
        </w:rPr>
      </w:pPr>
      <w:r>
        <w:rPr>
          <w:rFonts w:hint="eastAsia"/>
          <w:color w:val="000000"/>
          <w:sz w:val="24"/>
          <w:szCs w:val="24"/>
          <w:highlight w:val="none"/>
        </w:rPr>
        <w:t xml:space="preserve">28.2中标通知书发出后，采购人不得违法改变中标结果，中标人无正当理由不得放弃中标。</w:t>
      </w:r>
      <w:r>
        <w:rPr>
          <w:b/>
          <w:color w:val="000000"/>
          <w:sz w:val="24"/>
          <w:szCs w:val="24"/>
          <w:highlight w:val="none"/>
        </w:rPr>
      </w:r>
      <w:r/>
    </w:p>
    <w:p>
      <w:pPr>
        <w:pStyle w:val="1337"/>
        <w:ind w:firstLine="446"/>
        <w:keepLines w:val="0"/>
        <w:keepNext w:val="0"/>
        <w:spacing w:before="200" w:after="200" w:line="360" w:lineRule="auto"/>
        <w:rPr>
          <w:color w:val="000000"/>
          <w:sz w:val="24"/>
          <w:szCs w:val="24"/>
          <w:highlight w:val="none"/>
        </w:rPr>
      </w:pPr>
      <w:r/>
      <w:bookmarkStart w:id="103" w:name="_Toc76632909"/>
      <w:r/>
      <w:bookmarkStart w:id="104" w:name="_Toc256000043"/>
      <w:r>
        <w:rPr>
          <w:rFonts w:hint="eastAsia"/>
          <w:color w:val="000000"/>
          <w:sz w:val="24"/>
          <w:szCs w:val="24"/>
          <w:highlight w:val="none"/>
        </w:rPr>
        <w:t xml:space="preserve">29．履约保证金</w:t>
      </w:r>
      <w:bookmarkEnd w:id="103"/>
      <w:r/>
      <w:bookmarkEnd w:id="104"/>
      <w:r>
        <w:rPr>
          <w:color w:val="000000"/>
          <w:sz w:val="24"/>
          <w:szCs w:val="24"/>
          <w:highlight w:val="none"/>
        </w:rPr>
      </w:r>
      <w:r/>
    </w:p>
    <w:p>
      <w:pPr>
        <w:pStyle w:val="1339"/>
        <w:ind w:firstLine="480"/>
        <w:spacing w:line="360" w:lineRule="auto"/>
        <w:rPr>
          <w:rFonts w:cs="宋体"/>
          <w:color w:val="000000"/>
          <w:sz w:val="24"/>
          <w:szCs w:val="24"/>
          <w:highlight w:val="none"/>
        </w:rPr>
      </w:pPr>
      <w:r/>
      <w:bookmarkStart w:id="105" w:name="_Toc76632910"/>
      <w:r/>
      <w:bookmarkStart w:id="106" w:name="_Toc256000044"/>
      <w:r>
        <w:rPr>
          <w:rFonts w:hint="eastAsia" w:cs="宋体"/>
          <w:color w:val="000000"/>
          <w:sz w:val="24"/>
          <w:szCs w:val="24"/>
          <w:highlight w:val="none"/>
        </w:rPr>
        <w:t xml:space="preserve">29.1A ☑本项目不收取履约保证金。</w:t>
      </w:r>
      <w:r>
        <w:rPr>
          <w:rFonts w:cs="宋体"/>
          <w:color w:val="000000"/>
          <w:sz w:val="24"/>
          <w:szCs w:val="24"/>
          <w:highlight w:val="none"/>
        </w:rPr>
      </w:r>
      <w:r/>
    </w:p>
    <w:p>
      <w:pPr>
        <w:pStyle w:val="1339"/>
        <w:ind w:firstLine="960"/>
        <w:spacing w:line="360" w:lineRule="auto"/>
        <w:rPr>
          <w:rFonts w:cs="宋体"/>
          <w:color w:val="000000"/>
          <w:sz w:val="24"/>
          <w:szCs w:val="24"/>
          <w:highlight w:val="none"/>
        </w:rPr>
      </w:pPr>
      <w:r>
        <w:rPr>
          <w:rFonts w:hint="eastAsia" w:cs="宋体"/>
          <w:color w:val="000000"/>
          <w:sz w:val="24"/>
          <w:szCs w:val="24"/>
          <w:highlight w:val="none"/>
        </w:rPr>
        <w:t xml:space="preserve">B □本项目中标投标人应提交政府采购合同金额XX%的履约保证金（不得超过政府采购合同金额的10%），履约保证金应以支票、汇票、本票、保函、保险保单等非现金形式缴纳或提交。支持和鼓励中标投标人自愿使用履约（保函）保险代替缴纳履约保证金。省财政厅已上线政府采购电子履约保函(保险)平台，平台可通过域名www.jsdzbh.com直接访问，也可通过江苏省政府采购网、“苏采云”系统链接访问。</w:t>
      </w:r>
      <w:r>
        <w:rPr>
          <w:rFonts w:cs="宋体"/>
          <w:color w:val="000000"/>
          <w:sz w:val="24"/>
          <w:szCs w:val="24"/>
          <w:highlight w:val="none"/>
        </w:rPr>
      </w:r>
      <w:r/>
    </w:p>
    <w:p>
      <w:pPr>
        <w:pStyle w:val="1337"/>
        <w:ind w:firstLine="446"/>
        <w:keepLines w:val="0"/>
        <w:keepNext w:val="0"/>
        <w:spacing w:before="200" w:after="200" w:line="360" w:lineRule="auto"/>
        <w:rPr>
          <w:color w:val="000000"/>
          <w:sz w:val="24"/>
          <w:szCs w:val="24"/>
          <w:highlight w:val="none"/>
        </w:rPr>
      </w:pPr>
      <w:r>
        <w:rPr>
          <w:rFonts w:hint="eastAsia"/>
          <w:color w:val="000000"/>
          <w:sz w:val="24"/>
          <w:szCs w:val="24"/>
          <w:highlight w:val="none"/>
        </w:rPr>
        <w:t xml:space="preserve">30．签订合同</w:t>
      </w:r>
      <w:bookmarkEnd w:id="105"/>
      <w:r/>
      <w:bookmarkEnd w:id="106"/>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30.1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rPr>
          <w:color w:val="000000"/>
          <w:sz w:val="24"/>
          <w:szCs w:val="24"/>
          <w:highlight w:val="none"/>
        </w:rPr>
      </w:r>
      <w:r/>
    </w:p>
    <w:p>
      <w:pPr>
        <w:pStyle w:val="1131"/>
        <w:ind w:firstLine="480"/>
        <w:spacing w:line="360" w:lineRule="auto"/>
        <w:rPr>
          <w:color w:val="000000"/>
          <w:sz w:val="24"/>
          <w:szCs w:val="24"/>
          <w:highlight w:val="none"/>
        </w:rPr>
      </w:pPr>
      <w:r/>
      <w:bookmarkStart w:id="107" w:name="EBaf925551f4f74187986ad1d6476cdb25"/>
      <w:r>
        <w:rPr>
          <w:rFonts w:hint="eastAsia"/>
          <w:color w:val="000000"/>
          <w:sz w:val="24"/>
          <w:szCs w:val="24"/>
          <w:highlight w:val="none"/>
        </w:rPr>
        <w:t xml:space="preserve">30.2中标投标人拒绝与采购人签订合同的，采购人可以按照评审报告推荐的中标人名单排序，确定下一候选人为中标投标人，也可以重新开展政府采购活动。中标投标人无正当理由拒不与采购人签订合同的，报政府采购监管部门依法处理。</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30.3 政府采购合同应当包括采购人与中标人的名称和住所、标的、数量、质量、价款或者报酬、履行期限及地点和方式、验收要求、违约责任、解决争议的方法等内容。</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30.4采购人应当自采购合同签订之日起2个工作日内，将政府采购合同在政府采购指定媒体予以公告。</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30.6采购人与中标人应当根据合同的约定依法履行合同义务。政府采购合同的履行、违约责任和解决争议的方法等适用《中华人民共和国民法典》。</w:t>
      </w:r>
      <w:bookmarkEnd w:id="107"/>
      <w:r>
        <w:rPr>
          <w:color w:val="000000"/>
          <w:sz w:val="24"/>
          <w:szCs w:val="24"/>
          <w:highlight w:val="none"/>
        </w:rPr>
      </w:r>
      <w:r/>
    </w:p>
    <w:p>
      <w:pPr>
        <w:pStyle w:val="1131"/>
        <w:ind w:firstLine="480"/>
        <w:spacing w:line="360" w:lineRule="auto"/>
        <w:rPr>
          <w:color w:val="000000"/>
          <w:sz w:val="24"/>
          <w:szCs w:val="24"/>
          <w:highlight w:val="none"/>
        </w:rPr>
      </w:pPr>
      <w:r>
        <w:rPr>
          <w:color w:val="000000"/>
          <w:sz w:val="24"/>
          <w:szCs w:val="24"/>
          <w:highlight w:val="none"/>
        </w:rPr>
      </w:r>
      <w:r/>
    </w:p>
    <w:p>
      <w:pPr>
        <w:pStyle w:val="1131"/>
        <w:ind w:firstLine="643"/>
        <w:jc w:val="center"/>
        <w:spacing w:line="360" w:lineRule="auto"/>
        <w:rPr>
          <w:b/>
          <w:color w:val="000000"/>
          <w:sz w:val="24"/>
          <w:szCs w:val="24"/>
          <w:highlight w:val="none"/>
          <w:shd w:val="clear" w:color="auto" w:fill="ffffff"/>
        </w:rPr>
      </w:pPr>
      <w:r>
        <w:rPr>
          <w:rFonts w:hint="eastAsia"/>
          <w:b/>
          <w:color w:val="000000"/>
          <w:sz w:val="24"/>
          <w:szCs w:val="24"/>
          <w:highlight w:val="none"/>
          <w:shd w:val="clear" w:color="auto" w:fill="ffffff"/>
        </w:rPr>
        <w:t xml:space="preserve">七、询问、质疑、投诉</w:t>
      </w:r>
      <w:r>
        <w:rPr>
          <w:b/>
          <w:color w:val="000000"/>
          <w:sz w:val="24"/>
          <w:szCs w:val="24"/>
          <w:highlight w:val="none"/>
          <w:shd w:val="clear" w:color="auto" w:fill="ffffff"/>
        </w:rPr>
      </w:r>
      <w:r/>
    </w:p>
    <w:p>
      <w:pPr>
        <w:pStyle w:val="1337"/>
        <w:ind w:firstLine="446"/>
        <w:keepLines w:val="0"/>
        <w:keepNext w:val="0"/>
        <w:spacing w:before="200" w:after="200" w:line="360" w:lineRule="auto"/>
        <w:rPr>
          <w:color w:val="000000"/>
          <w:sz w:val="24"/>
          <w:szCs w:val="24"/>
          <w:highlight w:val="none"/>
        </w:rPr>
      </w:pPr>
      <w:r/>
      <w:bookmarkStart w:id="108" w:name="_Toc256000045"/>
      <w:r/>
      <w:bookmarkStart w:id="109" w:name="_Toc76632911"/>
      <w:r>
        <w:rPr>
          <w:rFonts w:hint="eastAsia"/>
          <w:color w:val="000000"/>
          <w:sz w:val="24"/>
          <w:szCs w:val="24"/>
          <w:highlight w:val="none"/>
        </w:rPr>
        <w:t xml:space="preserve">31．询问</w:t>
      </w:r>
      <w:bookmarkEnd w:id="108"/>
      <w:r/>
      <w:bookmarkEnd w:id="109"/>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31.1投标人对招标活动事项有疑问的，可以向采购人或采购代理机构提出询问，采购人或采购代理机构将在3个工作日内对投标人依法提出的询问作出答复，但答复的内容不得涉及商业秘密。</w:t>
      </w:r>
      <w:r>
        <w:rPr>
          <w:color w:val="000000"/>
          <w:sz w:val="24"/>
          <w:szCs w:val="24"/>
          <w:highlight w:val="none"/>
        </w:rPr>
      </w:r>
      <w:r/>
    </w:p>
    <w:p>
      <w:pPr>
        <w:pStyle w:val="1337"/>
        <w:ind w:firstLine="446"/>
        <w:keepLines w:val="0"/>
        <w:keepNext w:val="0"/>
        <w:spacing w:before="200" w:after="200" w:line="360" w:lineRule="auto"/>
        <w:rPr>
          <w:color w:val="000000"/>
          <w:sz w:val="24"/>
          <w:szCs w:val="24"/>
          <w:highlight w:val="none"/>
        </w:rPr>
      </w:pPr>
      <w:r/>
      <w:bookmarkStart w:id="110" w:name="_Toc256000046"/>
      <w:r/>
      <w:bookmarkStart w:id="111" w:name="_Toc76632912"/>
      <w:r>
        <w:rPr>
          <w:rFonts w:hint="eastAsia"/>
          <w:color w:val="000000"/>
          <w:sz w:val="24"/>
          <w:szCs w:val="24"/>
          <w:highlight w:val="none"/>
        </w:rPr>
        <w:t xml:space="preserve">32．质疑</w:t>
      </w:r>
      <w:bookmarkEnd w:id="110"/>
      <w:r/>
      <w:bookmarkEnd w:id="111"/>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32.1提出质疑的投标人应当是参与所质疑项目采购活动的投标人。投标人认为采购文件、采购过程和中标结果使自己的合法权益受到损害的，可以在知道或者应知其权益受到损害之日起七个工作日内，以书面形式向采购人、采购代理机构提出质疑。</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以上规定的投标人应知其权益受到损害之日，是指：</w:t>
      </w:r>
      <w:r>
        <w:rPr>
          <w:color w:val="000000"/>
          <w:sz w:val="24"/>
          <w:szCs w:val="24"/>
          <w:highlight w:val="none"/>
        </w:rPr>
      </w:r>
      <w:r/>
    </w:p>
    <w:p>
      <w:pPr>
        <w:pStyle w:val="1131"/>
        <w:ind w:firstLine="360"/>
        <w:spacing w:line="360" w:lineRule="auto"/>
        <w:rPr>
          <w:color w:val="000000"/>
          <w:sz w:val="24"/>
          <w:szCs w:val="24"/>
          <w:highlight w:val="none"/>
        </w:rPr>
      </w:pPr>
      <w:r>
        <w:rPr>
          <w:rFonts w:hint="eastAsia"/>
          <w:color w:val="000000"/>
          <w:sz w:val="24"/>
          <w:szCs w:val="24"/>
          <w:highlight w:val="none"/>
        </w:rPr>
        <w:t xml:space="preserve">（1）对可以质疑的采购文件提出质疑的，为收到采购文件之日或者采购文件公告期限届满之日；</w:t>
      </w:r>
      <w:r>
        <w:rPr>
          <w:color w:val="000000"/>
          <w:sz w:val="24"/>
          <w:szCs w:val="24"/>
          <w:highlight w:val="none"/>
        </w:rPr>
      </w:r>
      <w:r/>
    </w:p>
    <w:p>
      <w:pPr>
        <w:pStyle w:val="1131"/>
        <w:ind w:firstLine="360"/>
        <w:spacing w:line="360" w:lineRule="auto"/>
        <w:rPr>
          <w:color w:val="000000"/>
          <w:sz w:val="24"/>
          <w:szCs w:val="24"/>
          <w:highlight w:val="none"/>
        </w:rPr>
      </w:pPr>
      <w:r>
        <w:rPr>
          <w:rFonts w:hint="eastAsia"/>
          <w:color w:val="000000"/>
          <w:sz w:val="24"/>
          <w:szCs w:val="24"/>
          <w:highlight w:val="none"/>
        </w:rPr>
        <w:t xml:space="preserve">（2）对采购过程提出质疑的，为各采购程序环节结束之日；</w:t>
      </w:r>
      <w:r>
        <w:rPr>
          <w:color w:val="000000"/>
          <w:sz w:val="24"/>
          <w:szCs w:val="24"/>
          <w:highlight w:val="none"/>
        </w:rPr>
      </w:r>
      <w:r/>
    </w:p>
    <w:p>
      <w:pPr>
        <w:pStyle w:val="1131"/>
        <w:ind w:firstLine="360"/>
        <w:spacing w:line="360" w:lineRule="auto"/>
        <w:rPr>
          <w:color w:val="000000"/>
          <w:sz w:val="24"/>
          <w:szCs w:val="24"/>
          <w:highlight w:val="none"/>
        </w:rPr>
      </w:pPr>
      <w:r>
        <w:rPr>
          <w:rFonts w:hint="eastAsia"/>
          <w:color w:val="000000"/>
          <w:sz w:val="24"/>
          <w:szCs w:val="24"/>
          <w:highlight w:val="none"/>
        </w:rPr>
        <w:t xml:space="preserve">（3）对中标结果提出质疑的，为中标结果公告期限届满之日。</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32.2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招标组织方将提请财政部门将其列入不良行为记录名单，并依法予以处罚。</w:t>
      </w:r>
      <w:r>
        <w:rPr>
          <w:color w:val="000000"/>
          <w:sz w:val="24"/>
          <w:szCs w:val="24"/>
          <w:highlight w:val="none"/>
        </w:rPr>
      </w:r>
      <w:r/>
    </w:p>
    <w:p>
      <w:pPr>
        <w:pStyle w:val="1131"/>
        <w:ind w:firstLine="480"/>
        <w:spacing w:line="360" w:lineRule="auto"/>
        <w:rPr>
          <w:b/>
          <w:color w:val="000000"/>
          <w:sz w:val="24"/>
          <w:szCs w:val="24"/>
          <w:highlight w:val="none"/>
        </w:rPr>
      </w:pPr>
      <w:r>
        <w:rPr>
          <w:rFonts w:hint="eastAsia"/>
          <w:color w:val="000000"/>
          <w:sz w:val="24"/>
          <w:szCs w:val="24"/>
          <w:highlight w:val="none"/>
        </w:rPr>
        <w:t xml:space="preserve">32.3投标人应当在法定质疑期内一次性提出针对同一采购程序环节的质疑。投标人如在法定期限内对同一采购程序环节提出多次质疑的，将只对投标人第一次质疑作出答复。</w:t>
      </w:r>
      <w:r>
        <w:rPr>
          <w:rFonts w:hint="eastAsia"/>
          <w:bCs/>
          <w:color w:val="000000"/>
          <w:sz w:val="24"/>
          <w:szCs w:val="24"/>
          <w:highlight w:val="none"/>
        </w:rPr>
        <w:t xml:space="preserve">投标人如对采购需求提出质疑，采购人负责处理和答复涉及采购需求的质疑内容。</w:t>
      </w:r>
      <w:r>
        <w:rPr>
          <w:b/>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32.4质疑流程及注意事项见“苏采云”系统（网址：http://jszfcg.jsczt.cn/）网站下载中心。</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32.5采购人、采购代理机构不得拒收质疑投标人在法定质疑期内发出的质疑函，应当在收到质疑函后7个工作日内作出答复，并以书面形式通知质疑投标人和其他有关投标人。</w:t>
      </w:r>
      <w:r>
        <w:rPr>
          <w:color w:val="000000"/>
          <w:sz w:val="24"/>
          <w:szCs w:val="24"/>
          <w:highlight w:val="none"/>
        </w:rPr>
      </w:r>
      <w:r/>
    </w:p>
    <w:p>
      <w:pPr>
        <w:pStyle w:val="1337"/>
        <w:ind w:firstLine="446"/>
        <w:keepLines w:val="0"/>
        <w:keepNext w:val="0"/>
        <w:spacing w:before="200" w:after="200" w:line="360" w:lineRule="auto"/>
        <w:rPr>
          <w:color w:val="000000"/>
          <w:sz w:val="24"/>
          <w:szCs w:val="24"/>
          <w:highlight w:val="none"/>
        </w:rPr>
      </w:pPr>
      <w:r/>
      <w:bookmarkStart w:id="112" w:name="_Toc256000047"/>
      <w:r/>
      <w:bookmarkStart w:id="113" w:name="_Toc76632913"/>
      <w:r>
        <w:rPr>
          <w:rFonts w:hint="eastAsia"/>
          <w:color w:val="000000"/>
          <w:sz w:val="24"/>
          <w:szCs w:val="24"/>
          <w:highlight w:val="none"/>
        </w:rPr>
        <w:t xml:space="preserve">33．投诉</w:t>
      </w:r>
      <w:bookmarkEnd w:id="112"/>
      <w:r/>
      <w:bookmarkEnd w:id="113"/>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33.1质疑投标人对采购人、采购代理机构的答复不满意，或者采购人、采购代理机构未在规定的时间内作出答复的，可以在答复期满后十五个工作日内向采购人所属预算级次本级财政部门投诉。</w:t>
      </w:r>
      <w:r>
        <w:rPr>
          <w:color w:val="000000"/>
          <w:sz w:val="24"/>
          <w:szCs w:val="24"/>
          <w:highlight w:val="none"/>
        </w:rPr>
      </w:r>
      <w:r/>
    </w:p>
    <w:p>
      <w:pPr>
        <w:pStyle w:val="1131"/>
        <w:ind w:firstLine="640"/>
        <w:spacing w:line="360" w:lineRule="auto"/>
        <w:rPr>
          <w:color w:val="000000"/>
          <w:sz w:val="24"/>
          <w:szCs w:val="24"/>
          <w:highlight w:val="none"/>
        </w:rPr>
      </w:pPr>
      <w:r>
        <w:rPr>
          <w:color w:val="000000"/>
          <w:sz w:val="24"/>
          <w:szCs w:val="24"/>
          <w:highlight w:val="none"/>
        </w:rPr>
      </w:r>
      <w:r/>
    </w:p>
    <w:p>
      <w:pPr>
        <w:pStyle w:val="1131"/>
        <w:jc w:val="center"/>
        <w:spacing w:line="360" w:lineRule="auto"/>
        <w:rPr>
          <w:color w:val="000000"/>
          <w:sz w:val="24"/>
          <w:szCs w:val="24"/>
          <w:highlight w:val="none"/>
        </w:rPr>
      </w:pPr>
      <w:r>
        <w:rPr>
          <w:rFonts w:hint="eastAsia"/>
          <w:b/>
          <w:color w:val="000000"/>
          <w:sz w:val="24"/>
          <w:szCs w:val="24"/>
          <w:highlight w:val="none"/>
          <w:shd w:val="clear" w:color="auto" w:fill="ffffff"/>
        </w:rPr>
        <w:t xml:space="preserve">八、诚实信用和解释权</w:t>
      </w:r>
      <w:r>
        <w:rPr>
          <w:color w:val="000000"/>
          <w:sz w:val="24"/>
          <w:szCs w:val="24"/>
          <w:highlight w:val="none"/>
        </w:rPr>
      </w:r>
      <w:r/>
    </w:p>
    <w:p>
      <w:pPr>
        <w:pStyle w:val="1337"/>
        <w:ind w:firstLine="446"/>
        <w:keepLines w:val="0"/>
        <w:keepNext w:val="0"/>
        <w:spacing w:before="200" w:after="200" w:line="360" w:lineRule="auto"/>
        <w:rPr>
          <w:color w:val="000000"/>
          <w:sz w:val="24"/>
          <w:szCs w:val="24"/>
          <w:highlight w:val="none"/>
        </w:rPr>
      </w:pPr>
      <w:r/>
      <w:bookmarkStart w:id="114" w:name="_Toc76632914"/>
      <w:r/>
      <w:bookmarkStart w:id="115" w:name="_Toc256000048"/>
      <w:r>
        <w:rPr>
          <w:rFonts w:hint="eastAsia"/>
          <w:color w:val="000000"/>
          <w:sz w:val="24"/>
          <w:szCs w:val="24"/>
          <w:highlight w:val="none"/>
        </w:rPr>
        <w:t xml:space="preserve">34．诚实信用</w:t>
      </w:r>
      <w:bookmarkEnd w:id="114"/>
      <w:r/>
      <w:bookmarkEnd w:id="115"/>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34.1投标人应当遵循公平竞争的原则，不得恶意串通，不得妨碍其他投标人的竞争行为，不得损害采购人或者其他投标人的合法权益。</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34.2投标人不得以向招标组织方工作人员、评标委员会成员行贿或者采取其他不正当手段谋取中标。经查实投标人有此行为的，将在“苏采云”网站公告，政府采购管理部门将投标人列入不良行为记录名单，按照政府采购有关规定处理。</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34.3投标人不得虚假承诺，否则，按照提供虚假材料谋取中标处理。</w:t>
      </w:r>
      <w:r>
        <w:rPr>
          <w:color w:val="000000"/>
          <w:sz w:val="24"/>
          <w:szCs w:val="24"/>
          <w:highlight w:val="none"/>
        </w:rPr>
      </w:r>
      <w:r/>
    </w:p>
    <w:p>
      <w:pPr>
        <w:pStyle w:val="1131"/>
        <w:ind w:left="2" w:firstLine="480"/>
        <w:spacing w:line="360" w:lineRule="auto"/>
        <w:rPr>
          <w:color w:val="000000"/>
          <w:sz w:val="24"/>
          <w:szCs w:val="24"/>
          <w:highlight w:val="none"/>
        </w:rPr>
      </w:pPr>
      <w:r>
        <w:rPr>
          <w:rFonts w:hint="eastAsia"/>
          <w:color w:val="000000"/>
          <w:sz w:val="24"/>
          <w:szCs w:val="24"/>
          <w:highlight w:val="none"/>
        </w:rPr>
        <w:t xml:space="preserve">34</w:t>
      </w:r>
      <w:r>
        <w:rPr>
          <w:color w:val="000000"/>
          <w:sz w:val="24"/>
          <w:szCs w:val="24"/>
          <w:highlight w:val="none"/>
        </w:rPr>
        <w:t xml:space="preserve">.4</w:t>
      </w:r>
      <w:r>
        <w:rPr>
          <w:rFonts w:hint="eastAsia"/>
          <w:color w:val="000000"/>
          <w:sz w:val="24"/>
          <w:szCs w:val="24"/>
          <w:highlight w:val="none"/>
        </w:rPr>
        <w:t xml:space="preserve">投标人</w:t>
      </w:r>
      <w:r>
        <w:rPr>
          <w:color w:val="000000"/>
          <w:sz w:val="24"/>
          <w:szCs w:val="24"/>
          <w:highlight w:val="none"/>
        </w:rPr>
        <w:t xml:space="preserve">应自觉遵守开标、评标纪律，扰乱开标评标现场秩序的，属于失信行为，根据《江苏省政府采购</w:t>
      </w:r>
      <w:r>
        <w:rPr>
          <w:rFonts w:hint="eastAsia"/>
          <w:color w:val="000000"/>
          <w:sz w:val="24"/>
          <w:szCs w:val="24"/>
          <w:highlight w:val="none"/>
        </w:rPr>
        <w:t xml:space="preserve">投标人</w:t>
      </w:r>
      <w:r>
        <w:rPr>
          <w:color w:val="000000"/>
          <w:sz w:val="24"/>
          <w:szCs w:val="24"/>
          <w:highlight w:val="none"/>
        </w:rPr>
        <w:t xml:space="preserve">监督管理暂行办法》，失信行为将被记入</w:t>
      </w:r>
      <w:r>
        <w:rPr>
          <w:rFonts w:hint="eastAsia"/>
          <w:color w:val="000000"/>
          <w:sz w:val="24"/>
          <w:szCs w:val="24"/>
          <w:highlight w:val="none"/>
        </w:rPr>
        <w:t xml:space="preserve">投标人</w:t>
      </w:r>
      <w:r>
        <w:rPr>
          <w:color w:val="000000"/>
          <w:sz w:val="24"/>
          <w:szCs w:val="24"/>
          <w:highlight w:val="none"/>
        </w:rPr>
        <w:t xml:space="preserve">诚信档案。</w:t>
      </w:r>
      <w:r>
        <w:rPr>
          <w:color w:val="000000"/>
          <w:sz w:val="24"/>
          <w:szCs w:val="24"/>
          <w:highlight w:val="none"/>
        </w:rPr>
      </w:r>
      <w:r/>
    </w:p>
    <w:p>
      <w:pPr>
        <w:pStyle w:val="1131"/>
        <w:ind w:left="2" w:firstLine="480"/>
        <w:spacing w:line="360" w:lineRule="auto"/>
        <w:rPr>
          <w:color w:val="000000"/>
          <w:sz w:val="24"/>
          <w:szCs w:val="24"/>
          <w:highlight w:val="none"/>
        </w:rPr>
      </w:pPr>
      <w:r>
        <w:rPr>
          <w:rFonts w:hint="eastAsia"/>
          <w:color w:val="000000"/>
          <w:sz w:val="24"/>
          <w:szCs w:val="24"/>
          <w:highlight w:val="none"/>
        </w:rPr>
        <w:t xml:space="preserve">34</w:t>
      </w:r>
      <w:r>
        <w:rPr>
          <w:color w:val="000000"/>
          <w:sz w:val="24"/>
          <w:szCs w:val="24"/>
          <w:highlight w:val="none"/>
        </w:rPr>
        <w:t xml:space="preserve">.5</w:t>
      </w:r>
      <w:r>
        <w:rPr>
          <w:rFonts w:hint="eastAsia"/>
          <w:color w:val="000000"/>
          <w:sz w:val="24"/>
          <w:szCs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w:t>
      </w:r>
      <w:bookmarkStart w:id="116" w:name="EB4958606576824598b08d1b278a8143d4"/>
      <w:r>
        <w:rPr>
          <w:rFonts w:hint="eastAsia"/>
          <w:color w:val="000000"/>
          <w:sz w:val="24"/>
          <w:szCs w:val="24"/>
          <w:highlight w:val="none"/>
        </w:rPr>
        <w:t xml:space="preserve">采购人或采购代理机构在项目资格审查时对参加本项目的各投标人进行信用记录查询</w:t>
      </w:r>
      <w:bookmarkEnd w:id="116"/>
      <w:r>
        <w:rPr>
          <w:rFonts w:hint="eastAsia"/>
          <w:color w:val="000000"/>
          <w:sz w:val="24"/>
          <w:szCs w:val="24"/>
          <w:highlight w:val="none"/>
        </w:rPr>
        <w:t xml:space="preserve">，信用记录查询渠道为“信用中国”网站（www.creditchina.gov.cn）、中国政府采购网（www.ccgp.gov.cn）、“信用江苏”网站（</w:t>
      </w:r>
      <w:r>
        <w:rPr>
          <w:color w:val="000000"/>
          <w:sz w:val="24"/>
          <w:szCs w:val="24"/>
          <w:highlight w:val="none"/>
        </w:rPr>
        <w:t xml:space="preserve">http://credit.jiangsu.gov.cn</w:t>
      </w:r>
      <w:r>
        <w:rPr>
          <w:rFonts w:hint="eastAsia"/>
          <w:color w:val="000000"/>
          <w:sz w:val="24"/>
          <w:szCs w:val="24"/>
          <w:highlight w:val="none"/>
        </w:rPr>
        <w:t xml:space="preserve">），</w:t>
      </w:r>
      <w:bookmarkStart w:id="117" w:name="EBcc59d19dc298478d902b38cd10417ead"/>
      <w:r>
        <w:rPr>
          <w:rFonts w:hint="eastAsia"/>
          <w:color w:val="000000"/>
          <w:sz w:val="24"/>
          <w:szCs w:val="24"/>
          <w:highlight w:val="none"/>
        </w:rPr>
        <w:t xml:space="preserve">信用记录查询截止时间为项目资格审查结束时</w:t>
      </w:r>
      <w:bookmarkEnd w:id="117"/>
      <w:r>
        <w:rPr>
          <w:rFonts w:hint="eastAsia"/>
          <w:color w:val="000000"/>
          <w:sz w:val="24"/>
          <w:szCs w:val="24"/>
          <w:highlight w:val="none"/>
        </w:rPr>
        <w:t xml:space="preserve">，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rPr>
          <w:color w:val="000000"/>
          <w:sz w:val="24"/>
          <w:szCs w:val="24"/>
          <w:highlight w:val="none"/>
        </w:rPr>
      </w:r>
      <w:r/>
    </w:p>
    <w:p>
      <w:pPr>
        <w:pStyle w:val="1337"/>
        <w:ind w:firstLine="446"/>
        <w:keepLines w:val="0"/>
        <w:keepNext w:val="0"/>
        <w:spacing w:before="200" w:after="200" w:line="360" w:lineRule="auto"/>
        <w:rPr>
          <w:color w:val="000000"/>
          <w:sz w:val="24"/>
          <w:szCs w:val="24"/>
          <w:highlight w:val="none"/>
        </w:rPr>
      </w:pPr>
      <w:r/>
      <w:bookmarkStart w:id="118" w:name="_Toc76632915"/>
      <w:r/>
      <w:bookmarkStart w:id="119" w:name="_Toc256000049"/>
      <w:r>
        <w:rPr>
          <w:rFonts w:hint="eastAsia"/>
          <w:color w:val="000000"/>
          <w:sz w:val="24"/>
          <w:szCs w:val="24"/>
          <w:highlight w:val="none"/>
        </w:rPr>
        <w:t xml:space="preserve">35．解释权</w:t>
      </w:r>
      <w:bookmarkEnd w:id="118"/>
      <w:r/>
      <w:bookmarkEnd w:id="119"/>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35.1除相关法律、法规规定外，本招标文件的解释权归大洲设计咨询集团有限公司所有。</w:t>
      </w:r>
      <w:r>
        <w:rPr>
          <w:color w:val="000000"/>
          <w:sz w:val="24"/>
          <w:szCs w:val="24"/>
          <w:highlight w:val="none"/>
        </w:rPr>
      </w:r>
      <w:r/>
    </w:p>
    <w:p>
      <w:pPr>
        <w:pStyle w:val="1337"/>
        <w:ind w:firstLine="446"/>
        <w:keepLines w:val="0"/>
        <w:keepNext w:val="0"/>
        <w:spacing w:before="200" w:after="200" w:line="360" w:lineRule="auto"/>
        <w:rPr>
          <w:color w:val="000000"/>
          <w:sz w:val="24"/>
          <w:szCs w:val="24"/>
          <w:highlight w:val="none"/>
        </w:rPr>
      </w:pPr>
      <w:r/>
      <w:bookmarkStart w:id="120" w:name="_Toc76632916"/>
      <w:r/>
      <w:bookmarkStart w:id="121" w:name="_Toc256000050"/>
      <w:r>
        <w:rPr>
          <w:rFonts w:hint="eastAsia"/>
          <w:color w:val="000000"/>
          <w:sz w:val="24"/>
          <w:szCs w:val="24"/>
          <w:highlight w:val="none"/>
        </w:rPr>
        <w:t xml:space="preserve">36．适用法律及约束力</w:t>
      </w:r>
      <w:bookmarkEnd w:id="120"/>
      <w:r/>
      <w:bookmarkEnd w:id="121"/>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36.1</w:t>
      </w:r>
      <w:r>
        <w:rPr>
          <w:rFonts w:hint="eastAsia"/>
          <w:b/>
          <w:color w:val="000000"/>
          <w:sz w:val="24"/>
          <w:szCs w:val="24"/>
          <w:highlight w:val="none"/>
        </w:rPr>
        <w:t xml:space="preserve">投标人一旦获取了本招标文件并参加投标，即被认为接受了本招标文件的规定和约束。</w:t>
      </w:r>
      <w:r>
        <w:rPr>
          <w:color w:val="000000"/>
          <w:sz w:val="24"/>
          <w:szCs w:val="24"/>
          <w:highlight w:val="none"/>
        </w:rPr>
      </w:r>
      <w:r/>
    </w:p>
    <w:p>
      <w:pPr>
        <w:pStyle w:val="1131"/>
        <w:ind w:right="140" w:firstLine="480"/>
        <w:spacing w:line="360" w:lineRule="auto"/>
        <w:rPr>
          <w:rFonts w:ascii="宋体" w:hAnsi="宋体" w:cs="宋体"/>
          <w:bCs/>
          <w:color w:val="000000"/>
          <w:sz w:val="24"/>
          <w:szCs w:val="24"/>
          <w:highlight w:val="none"/>
        </w:rPr>
        <w:sectPr>
          <w:headerReference w:type="default" r:id="rId11"/>
          <w:footnotePr/>
          <w:endnotePr/>
          <w:type w:val="nextPage"/>
          <w:pgSz w:w="11905" w:h="16838" w:orient="portrait"/>
          <w:pgMar w:top="1134" w:right="1134" w:bottom="1134" w:left="1417" w:header="850" w:footer="850" w:gutter="0"/>
          <w:pgNumType w:start="1"/>
          <w:cols w:num="1" w:sep="0" w:space="1701" w:equalWidth="1"/>
          <w:docGrid w:linePitch="360"/>
        </w:sectPr>
      </w:pPr>
      <w:r>
        <w:rPr>
          <w:rFonts w:hint="eastAsia"/>
          <w:color w:val="000000"/>
          <w:sz w:val="24"/>
          <w:szCs w:val="24"/>
          <w:highlight w:val="none"/>
        </w:rPr>
        <w:t xml:space="preserve">36.2本次招标及由本次招标产生的合同受中华人民共和国法律制约和保护。</w:t>
      </w:r>
      <w:r>
        <w:rPr>
          <w:rFonts w:ascii="宋体" w:hAnsi="宋体" w:cs="宋体"/>
          <w:bCs/>
          <w:color w:val="000000"/>
          <w:sz w:val="24"/>
          <w:szCs w:val="24"/>
          <w:highlight w:val="none"/>
        </w:rPr>
      </w:r>
      <w:r/>
    </w:p>
    <w:p>
      <w:pPr>
        <w:pStyle w:val="1331"/>
        <w:jc w:val="center"/>
        <w:rPr>
          <w:rFonts w:ascii="宋体" w:hAnsi="宋体"/>
          <w:b/>
          <w:color w:val="000000"/>
          <w:szCs w:val="36"/>
          <w:highlight w:val="none"/>
        </w:rPr>
      </w:pPr>
      <w:r/>
      <w:bookmarkEnd w:id="37"/>
      <w:r/>
      <w:bookmarkStart w:id="122" w:name="_Toc1165"/>
      <w:r/>
      <w:bookmarkStart w:id="123" w:name="_Toc77255555"/>
      <w:r/>
      <w:bookmarkStart w:id="124" w:name="_Toc77255444"/>
      <w:r>
        <w:rPr>
          <w:rFonts w:hint="eastAsia" w:ascii="宋体" w:hAnsi="宋体" w:eastAsia="宋体" w:cs="宋体"/>
          <w:b/>
          <w:bCs/>
          <w:color w:val="000000"/>
          <w:sz w:val="36"/>
          <w:szCs w:val="36"/>
          <w:highlight w:val="none"/>
        </w:rPr>
        <w:t xml:space="preserve">第三部分    合同</w:t>
      </w:r>
      <w:bookmarkEnd w:id="122"/>
      <w:r>
        <w:rPr>
          <w:rFonts w:ascii="宋体" w:hAnsi="宋体"/>
          <w:b/>
          <w:color w:val="000000"/>
          <w:szCs w:val="36"/>
          <w:highlight w:val="none"/>
        </w:rPr>
      </w:r>
      <w:r/>
    </w:p>
    <w:p>
      <w:pPr>
        <w:pStyle w:val="1131"/>
        <w:jc w:val="center"/>
        <w:widowControl/>
        <w:rPr>
          <w:rFonts w:ascii="宋体" w:hAnsi="宋体"/>
          <w:b/>
          <w:color w:val="000000"/>
          <w:sz w:val="36"/>
          <w:szCs w:val="36"/>
          <w:highlight w:val="none"/>
        </w:rPr>
      </w:pPr>
      <w:r>
        <w:rPr>
          <w:rFonts w:ascii="宋体" w:hAnsi="宋体"/>
          <w:b/>
          <w:color w:val="000000"/>
          <w:sz w:val="36"/>
          <w:szCs w:val="36"/>
          <w:highlight w:val="none"/>
        </w:rPr>
      </w:r>
      <w:r/>
    </w:p>
    <w:p>
      <w:pPr>
        <w:pStyle w:val="1158"/>
        <w:jc w:val="center"/>
        <w:rPr>
          <w:rFonts w:ascii="宋体" w:hAnsi="宋体" w:cs="宋体"/>
          <w:b/>
          <w:bCs/>
          <w:color w:val="000000"/>
          <w:spacing w:val="-20"/>
          <w:sz w:val="48"/>
          <w:szCs w:val="48"/>
          <w:highlight w:val="none"/>
        </w:rPr>
      </w:pPr>
      <w:r/>
      <w:bookmarkStart w:id="125" w:name="_Toc3995"/>
      <w:r>
        <w:rPr>
          <w:rFonts w:ascii="宋体" w:hAnsi="宋体" w:cs="宋体"/>
          <w:b/>
          <w:bCs/>
          <w:color w:val="000000"/>
          <w:spacing w:val="-20"/>
          <w:sz w:val="48"/>
          <w:szCs w:val="48"/>
          <w:highlight w:val="none"/>
        </w:rPr>
      </w:r>
      <w:r/>
    </w:p>
    <w:p>
      <w:pPr>
        <w:pStyle w:val="1131"/>
        <w:rPr>
          <w:rFonts w:hint="eastAsia" w:ascii="宋体" w:hAnsi="宋体" w:cs="宋体"/>
          <w:color w:val="000000"/>
          <w:sz w:val="24"/>
          <w:szCs w:val="24"/>
          <w:highlight w:val="none"/>
          <w:u w:val="single"/>
        </w:rPr>
      </w:pPr>
      <w:r/>
      <w:bookmarkEnd w:id="125"/>
      <w:r>
        <w:rPr>
          <w:rFonts w:hint="eastAsia" w:ascii="宋体" w:hAnsi="宋体" w:cs="宋体"/>
          <w:color w:val="000000"/>
          <w:sz w:val="24"/>
          <w:szCs w:val="24"/>
          <w:highlight w:val="none"/>
        </w:rPr>
        <w:t xml:space="preserve">合同编号：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1131"/>
        <w:jc w:val="center"/>
        <w:spacing w:line="48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131"/>
        <w:jc w:val="center"/>
        <w:spacing w:line="48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131"/>
        <w:jc w:val="center"/>
        <w:spacing w:line="48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131"/>
        <w:jc w:val="center"/>
        <w:spacing w:line="480" w:lineRule="auto"/>
        <w:rPr>
          <w:rFonts w:hint="eastAsia" w:ascii="宋体" w:hAnsi="宋体" w:cs="宋体"/>
          <w:b/>
          <w:i/>
          <w:iCs/>
          <w:color w:val="000000"/>
          <w:sz w:val="24"/>
          <w:szCs w:val="24"/>
          <w:highlight w:val="none"/>
          <w:u w:val="single"/>
        </w:rPr>
      </w:pPr>
      <w:r>
        <w:rPr>
          <w:rFonts w:hint="eastAsia" w:ascii="宋体" w:hAnsi="宋体" w:cs="宋体"/>
          <w:b/>
          <w:i/>
          <w:iCs/>
          <w:color w:val="000000"/>
          <w:sz w:val="32"/>
          <w:szCs w:val="32"/>
          <w:highlight w:val="none"/>
          <w:u w:val="single"/>
        </w:rPr>
        <w:t xml:space="preserve">政府采购合同参考范本</w:t>
      </w:r>
      <w:r>
        <w:rPr>
          <w:rFonts w:hint="eastAsia" w:ascii="宋体" w:hAnsi="宋体" w:cs="宋体"/>
          <w:b/>
          <w:i/>
          <w:iCs/>
          <w:color w:val="000000"/>
          <w:sz w:val="24"/>
          <w:szCs w:val="24"/>
          <w:highlight w:val="none"/>
          <w:u w:val="single"/>
        </w:rPr>
      </w:r>
      <w:r/>
    </w:p>
    <w:p>
      <w:pPr>
        <w:pStyle w:val="1131"/>
        <w:jc w:val="center"/>
        <w:spacing w:line="48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645"/>
        <w:rPr>
          <w:rFonts w:hint="eastAsia" w:ascii="宋体" w:hAnsi="宋体" w:cs="宋体"/>
          <w:color w:val="000000"/>
          <w:sz w:val="24"/>
          <w:highlight w:val="none"/>
        </w:rPr>
      </w:pPr>
      <w:r>
        <w:rPr>
          <w:rFonts w:hint="eastAsia" w:ascii="宋体" w:hAnsi="宋体" w:cs="宋体"/>
          <w:color w:val="000000"/>
          <w:sz w:val="24"/>
          <w:highlight w:val="none"/>
        </w:rPr>
      </w:r>
      <w:r/>
    </w:p>
    <w:p>
      <w:pPr>
        <w:pStyle w:val="1645"/>
        <w:rPr>
          <w:rFonts w:hint="eastAsia" w:ascii="宋体" w:hAnsi="宋体" w:cs="宋体"/>
          <w:color w:val="000000"/>
          <w:sz w:val="24"/>
          <w:highlight w:val="none"/>
        </w:rPr>
      </w:pPr>
      <w:r>
        <w:rPr>
          <w:rFonts w:hint="eastAsia" w:ascii="宋体" w:hAnsi="宋体" w:cs="宋体"/>
          <w:color w:val="000000"/>
          <w:sz w:val="24"/>
          <w:highlight w:val="none"/>
        </w:rPr>
      </w:r>
      <w:r/>
    </w:p>
    <w:p>
      <w:pPr>
        <w:pStyle w:val="1645"/>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1645"/>
        <w:ind w:firstLine="2668"/>
        <w:rPr>
          <w:rFonts w:hint="eastAsia" w:ascii="宋体" w:hAnsi="宋体" w:cs="宋体"/>
          <w:b/>
          <w:color w:val="000000"/>
          <w:sz w:val="24"/>
          <w:highlight w:val="none"/>
        </w:rPr>
      </w:pPr>
      <w:r>
        <w:rPr>
          <w:rFonts w:hint="eastAsia" w:ascii="宋体" w:hAnsi="宋体" w:cs="宋体"/>
          <w:b/>
          <w:color w:val="000000"/>
          <w:sz w:val="24"/>
          <w:highlight w:val="none"/>
        </w:rPr>
        <w:t xml:space="preserve">第一</w:t>
      </w:r>
      <w:bookmarkStart w:id="126" w:name="_Hlk136502621"/>
      <w:r>
        <w:rPr>
          <w:rFonts w:hint="eastAsia" w:ascii="宋体" w:hAnsi="宋体" w:cs="宋体"/>
          <w:b/>
          <w:color w:val="000000"/>
          <w:sz w:val="24"/>
          <w:highlight w:val="none"/>
        </w:rPr>
        <w:t xml:space="preserve">部分</w:t>
      </w:r>
      <w:bookmarkEnd w:id="126"/>
      <w:r>
        <w:rPr>
          <w:rFonts w:hint="eastAsia" w:ascii="宋体" w:hAnsi="宋体" w:cs="宋体"/>
          <w:b/>
          <w:color w:val="000000"/>
          <w:sz w:val="24"/>
          <w:highlight w:val="none"/>
        </w:rPr>
        <w:t xml:space="preserve"> 合同书</w:t>
      </w:r>
      <w:r>
        <w:rPr>
          <w:rFonts w:hint="eastAsia" w:ascii="宋体" w:hAnsi="宋体" w:cs="宋体"/>
          <w:b/>
          <w:color w:val="000000"/>
          <w:sz w:val="24"/>
          <w:highlight w:val="none"/>
        </w:rPr>
      </w:r>
      <w:r/>
    </w:p>
    <w:p>
      <w:pPr>
        <w:pStyle w:val="1645"/>
        <w:rPr>
          <w:rFonts w:hint="eastAsia" w:ascii="宋体" w:hAnsi="宋体" w:cs="宋体"/>
          <w:color w:val="000000"/>
          <w:sz w:val="24"/>
          <w:highlight w:val="none"/>
        </w:rPr>
      </w:pPr>
      <w:r>
        <w:rPr>
          <w:rFonts w:hint="eastAsia" w:ascii="宋体" w:hAnsi="宋体" w:cs="宋体"/>
          <w:color w:val="000000"/>
          <w:sz w:val="24"/>
          <w:highlight w:val="none"/>
        </w:rPr>
      </w:r>
      <w:r/>
    </w:p>
    <w:p>
      <w:pPr>
        <w:pStyle w:val="1645"/>
        <w:rPr>
          <w:rFonts w:hint="eastAsia" w:ascii="宋体" w:hAnsi="宋体" w:cs="宋体"/>
          <w:color w:val="000000"/>
          <w:sz w:val="24"/>
          <w:highlight w:val="none"/>
        </w:rPr>
      </w:pPr>
      <w:r>
        <w:rPr>
          <w:rFonts w:hint="eastAsia" w:ascii="宋体" w:hAnsi="宋体" w:cs="宋体"/>
          <w:color w:val="000000"/>
          <w:sz w:val="24"/>
          <w:highlight w:val="none"/>
        </w:rPr>
      </w:r>
      <w:r/>
    </w:p>
    <w:p>
      <w:pPr>
        <w:pStyle w:val="1131"/>
        <w:spacing w:before="120" w:line="22"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31"/>
        <w:ind w:left="960"/>
        <w:spacing w:before="120" w:line="22"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1730"/>
        <w:spacing w:before="120" w:line="22" w:lineRule="atLeas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730"/>
        <w:spacing w:before="120" w:line="22" w:lineRule="atLeas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31"/>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31"/>
        <w:ind w:left="960"/>
        <w:spacing w:before="120" w:line="22" w:lineRule="atLeas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甲方：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1131"/>
        <w:spacing w:before="120" w:line="22"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31"/>
        <w:ind w:left="960"/>
        <w:spacing w:before="120" w:line="22" w:lineRule="atLeas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乙方：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1131"/>
        <w:spacing w:before="120" w:line="22"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31"/>
        <w:spacing w:before="120" w:line="22"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31"/>
        <w:ind w:firstLine="960"/>
        <w:spacing w:before="120" w:line="22"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31"/>
        <w:ind w:firstLine="960"/>
        <w:spacing w:before="120" w:line="22"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31"/>
        <w:ind w:firstLine="960"/>
        <w:spacing w:before="120" w:line="22"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31"/>
        <w:ind w:firstLine="960"/>
        <w:spacing w:before="120" w:line="22" w:lineRule="atLeas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签订日期：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u w:val="single"/>
        </w:rPr>
      </w:r>
      <w:r/>
    </w:p>
    <w:p>
      <w:pPr>
        <w:pStyle w:val="1131"/>
        <w:jc w:val="left"/>
        <w:widowControl/>
        <w:rPr>
          <w:rFonts w:hint="eastAsia" w:ascii="宋体" w:hAnsi="宋体" w:cs="宋体"/>
          <w:color w:val="000000"/>
          <w:sz w:val="24"/>
          <w:szCs w:val="24"/>
          <w:highlight w:val="none"/>
        </w:rPr>
        <w:sectPr>
          <w:headerReference w:type="default" r:id="rId12"/>
          <w:footnotePr/>
          <w:endnotePr/>
          <w:type w:val="nextPage"/>
          <w:pgSz w:w="11907" w:h="16840" w:orient="portrait"/>
          <w:pgMar w:top="1474" w:right="1814" w:bottom="1474" w:left="1814" w:header="851" w:footer="851" w:gutter="0"/>
          <w:cols w:num="1" w:sep="0" w:space="1701" w:equalWidth="1"/>
          <w:docGrid w:linePitch="360"/>
        </w:sectPr>
      </w:pPr>
      <w:r>
        <w:rPr>
          <w:rFonts w:hint="eastAsia" w:ascii="宋体" w:hAnsi="宋体" w:cs="宋体"/>
          <w:color w:val="000000"/>
          <w:sz w:val="24"/>
          <w:szCs w:val="24"/>
          <w:highlight w:val="none"/>
        </w:rPr>
      </w:r>
      <w:r/>
    </w:p>
    <w:p>
      <w:pPr>
        <w:pStyle w:val="113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根据《中华人民共和国民法典》《中华人民共和国政府采购法》等相关法律法规之规定和</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（项目编号）</w:t>
      </w:r>
      <w:r>
        <w:rPr>
          <w:rFonts w:hint="eastAsia" w:ascii="宋体" w:hAnsi="宋体" w:cs="宋体"/>
          <w:color w:val="000000"/>
          <w:sz w:val="24"/>
          <w:szCs w:val="24"/>
          <w:highlight w:val="none"/>
        </w:rPr>
        <w:t xml:space="preserve">的招标结果，</w:t>
      </w:r>
      <w:r>
        <w:rPr>
          <w:rFonts w:hint="eastAsia" w:ascii="宋体" w:hAnsi="宋体" w:cs="宋体"/>
          <w:color w:val="000000"/>
          <w:sz w:val="24"/>
          <w:szCs w:val="24"/>
          <w:highlight w:val="none"/>
          <w:lang w:val="zh-CN"/>
        </w:rPr>
        <w:t xml:space="preserve">按照平等、自愿、公平、诚实信用和绿色的原则，经甲方和乙方协商一致，约定以下合同</w:t>
      </w:r>
      <w:r>
        <w:rPr>
          <w:rFonts w:hint="eastAsia" w:ascii="宋体" w:hAnsi="宋体" w:cs="宋体"/>
          <w:color w:val="000000"/>
          <w:sz w:val="24"/>
          <w:szCs w:val="24"/>
          <w:highlight w:val="none"/>
        </w:rPr>
        <w:t xml:space="preserve">条款，以兹共同遵守、全面履行。</w:t>
      </w:r>
      <w:r>
        <w:rPr>
          <w:rFonts w:hint="eastAsia" w:ascii="宋体" w:hAnsi="宋体" w:cs="宋体"/>
          <w:color w:val="000000"/>
          <w:sz w:val="24"/>
          <w:szCs w:val="24"/>
          <w:highlight w:val="none"/>
        </w:rPr>
      </w:r>
      <w:r/>
    </w:p>
    <w:p>
      <w:pPr>
        <w:pStyle w:val="1131"/>
        <w:ind w:left="56"/>
        <w:spacing w:before="29" w:line="360" w:lineRule="auto"/>
        <w:rPr>
          <w:rFonts w:hint="eastAsia" w:ascii="宋体" w:hAnsi="宋体" w:cs="宋体"/>
          <w:color w:val="000000"/>
          <w:sz w:val="24"/>
          <w:szCs w:val="24"/>
          <w:highlight w:val="none"/>
        </w:rPr>
      </w:pPr>
      <w:r>
        <w:rPr>
          <w:rFonts w:hint="eastAsia" w:ascii="宋体" w:hAnsi="宋体" w:cs="宋体"/>
          <w:color w:val="000000"/>
          <w:spacing w:val="-6"/>
          <w:sz w:val="24"/>
          <w:szCs w:val="24"/>
          <w:highlight w:val="none"/>
        </w:rPr>
        <w:t xml:space="preserve">1</w:t>
      </w:r>
      <w:r>
        <w:rPr>
          <w:rFonts w:hint="eastAsia" w:ascii="宋体" w:hAnsi="宋体" w:cs="宋体"/>
          <w:color w:val="000000"/>
          <w:spacing w:val="-4"/>
          <w:sz w:val="24"/>
          <w:szCs w:val="24"/>
          <w:highlight w:val="none"/>
        </w:rPr>
        <w:t xml:space="preserve">、</w:t>
      </w:r>
      <w:r>
        <w:rPr>
          <w:rFonts w:hint="eastAsia" w:ascii="宋体" w:hAnsi="宋体" w:cs="宋体"/>
          <w:color w:val="000000"/>
          <w:spacing w:val="-3"/>
          <w:sz w:val="24"/>
          <w:szCs w:val="24"/>
          <w:highlight w:val="none"/>
        </w:rPr>
        <w:t xml:space="preserve">合同组成</w:t>
      </w:r>
      <w:r>
        <w:rPr>
          <w:rFonts w:hint="eastAsia" w:ascii="宋体" w:hAnsi="宋体" w:cs="宋体"/>
          <w:color w:val="000000"/>
          <w:sz w:val="24"/>
          <w:szCs w:val="24"/>
          <w:highlight w:val="none"/>
        </w:rPr>
      </w:r>
      <w:r/>
    </w:p>
    <w:p>
      <w:pPr>
        <w:pStyle w:val="113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下列关于镇江市丹徒区公路事业发展中心【项目编号】</w:t>
      </w:r>
      <w:r>
        <w:rPr>
          <w:rFonts w:hint="eastAsia" w:ascii="宋体" w:hAnsi="宋体" w:cs="宋体"/>
          <w:color w:val="000000"/>
          <w:sz w:val="24"/>
          <w:szCs w:val="24"/>
          <w:highlight w:val="none"/>
          <w:lang w:eastAsia="zh-CN"/>
        </w:rPr>
        <w:t xml:space="preserve">采购</w:t>
      </w:r>
      <w:r>
        <w:rPr>
          <w:rFonts w:hint="eastAsia" w:ascii="宋体" w:hAnsi="宋体" w:cs="宋体"/>
          <w:color w:val="000000"/>
          <w:sz w:val="24"/>
          <w:szCs w:val="24"/>
          <w:highlight w:val="none"/>
        </w:rPr>
        <w:t xml:space="preserve">文件、乙方提交的</w:t>
      </w:r>
      <w:r>
        <w:rPr>
          <w:rFonts w:hint="eastAsia" w:ascii="宋体" w:hAnsi="宋体" w:cs="宋体"/>
          <w:color w:val="000000"/>
          <w:sz w:val="24"/>
          <w:szCs w:val="24"/>
          <w:highlight w:val="none"/>
          <w:lang w:eastAsia="zh-CN"/>
        </w:rPr>
        <w:t xml:space="preserve">投标</w:t>
      </w:r>
      <w:r>
        <w:rPr>
          <w:rFonts w:hint="eastAsia" w:ascii="宋体" w:hAnsi="宋体" w:cs="宋体"/>
          <w:color w:val="000000"/>
          <w:sz w:val="24"/>
          <w:szCs w:val="24"/>
          <w:highlight w:val="none"/>
        </w:rPr>
        <w:t xml:space="preserve">文件均是构成本合同不可分割的部分，还包括：</w:t>
      </w:r>
      <w:r>
        <w:rPr>
          <w:rFonts w:hint="eastAsia" w:ascii="宋体" w:hAnsi="宋体" w:cs="宋体"/>
          <w:color w:val="000000"/>
          <w:sz w:val="24"/>
          <w:szCs w:val="24"/>
          <w:highlight w:val="none"/>
        </w:rPr>
      </w:r>
      <w:r/>
    </w:p>
    <w:p>
      <w:pPr>
        <w:pStyle w:val="113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(1)合同条款；</w:t>
      </w:r>
      <w:r>
        <w:rPr>
          <w:rFonts w:hint="eastAsia" w:ascii="宋体" w:hAnsi="宋体" w:cs="宋体"/>
          <w:color w:val="000000"/>
          <w:sz w:val="24"/>
          <w:szCs w:val="24"/>
          <w:highlight w:val="none"/>
        </w:rPr>
      </w:r>
      <w:r/>
    </w:p>
    <w:p>
      <w:pPr>
        <w:pStyle w:val="113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)报价明细表；</w:t>
      </w:r>
      <w:r>
        <w:rPr>
          <w:rFonts w:hint="eastAsia" w:ascii="宋体" w:hAnsi="宋体" w:cs="宋体"/>
          <w:color w:val="000000"/>
          <w:sz w:val="24"/>
          <w:szCs w:val="24"/>
          <w:highlight w:val="none"/>
        </w:rPr>
      </w:r>
      <w:r/>
    </w:p>
    <w:p>
      <w:pPr>
        <w:pStyle w:val="113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)成交通知书；</w:t>
      </w:r>
      <w:r>
        <w:rPr>
          <w:rFonts w:hint="eastAsia" w:ascii="宋体" w:hAnsi="宋体" w:cs="宋体"/>
          <w:color w:val="000000"/>
          <w:sz w:val="24"/>
          <w:szCs w:val="24"/>
          <w:highlight w:val="none"/>
        </w:rPr>
      </w:r>
      <w:r/>
    </w:p>
    <w:p>
      <w:pPr>
        <w:pStyle w:val="113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)甲方、乙方商定的其他必要文件。</w:t>
      </w:r>
      <w:r>
        <w:rPr>
          <w:rFonts w:hint="eastAsia" w:ascii="宋体" w:hAnsi="宋体" w:cs="宋体"/>
          <w:color w:val="000000"/>
          <w:sz w:val="24"/>
          <w:szCs w:val="24"/>
          <w:highlight w:val="none"/>
        </w:rPr>
      </w:r>
      <w:r/>
    </w:p>
    <w:p>
      <w:pPr>
        <w:pStyle w:val="1131"/>
        <w:ind w:left="38"/>
        <w:spacing w:before="232" w:line="360" w:lineRule="auto"/>
        <w:rPr>
          <w:rFonts w:hint="eastAsia" w:ascii="宋体" w:hAnsi="宋体" w:cs="宋体"/>
          <w:color w:val="000000"/>
          <w:sz w:val="24"/>
          <w:szCs w:val="24"/>
          <w:highlight w:val="none"/>
        </w:rPr>
      </w:pPr>
      <w:r/>
      <w:bookmarkStart w:id="127" w:name="_bookmark60"/>
      <w:r/>
      <w:bookmarkEnd w:id="127"/>
      <w:r>
        <w:rPr>
          <w:rFonts w:hint="eastAsia" w:ascii="宋体" w:hAnsi="宋体" w:cs="宋体"/>
          <w:color w:val="000000"/>
          <w:spacing w:val="-1"/>
          <w:sz w:val="24"/>
          <w:szCs w:val="24"/>
          <w:highlight w:val="none"/>
        </w:rPr>
        <w:t xml:space="preserve">2、工程</w:t>
      </w:r>
      <w:r>
        <w:rPr>
          <w:rFonts w:hint="eastAsia" w:ascii="宋体" w:hAnsi="宋体" w:cs="宋体"/>
          <w:color w:val="000000"/>
          <w:sz w:val="24"/>
          <w:szCs w:val="24"/>
          <w:highlight w:val="none"/>
        </w:rPr>
        <w:t xml:space="preserve">概况</w:t>
      </w:r>
      <w:r>
        <w:rPr>
          <w:rFonts w:hint="eastAsia" w:ascii="宋体" w:hAnsi="宋体" w:cs="宋体"/>
          <w:color w:val="000000"/>
          <w:sz w:val="24"/>
          <w:szCs w:val="24"/>
          <w:highlight w:val="none"/>
        </w:rPr>
      </w:r>
      <w:r/>
    </w:p>
    <w:p>
      <w:pPr>
        <w:pStyle w:val="113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 工程名称：2025年镇江市丹徒区公路事业发展中心路网指挥中心改造项目；</w:t>
      </w:r>
      <w:r>
        <w:rPr>
          <w:rFonts w:hint="eastAsia" w:ascii="宋体" w:hAnsi="宋体" w:cs="宋体"/>
          <w:color w:val="000000"/>
          <w:sz w:val="24"/>
          <w:szCs w:val="24"/>
          <w:highlight w:val="none"/>
        </w:rPr>
      </w:r>
      <w:r/>
    </w:p>
    <w:p>
      <w:pPr>
        <w:pStyle w:val="113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 工程地点：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3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 承包范围：镇江市丹徒区公路事业发展中心【项目编号】的磋商文件所规定的工程范围；</w:t>
      </w:r>
      <w:r>
        <w:rPr>
          <w:rFonts w:hint="eastAsia" w:ascii="宋体" w:hAnsi="宋体" w:cs="宋体"/>
          <w:color w:val="000000"/>
          <w:sz w:val="24"/>
          <w:szCs w:val="24"/>
          <w:highlight w:val="none"/>
        </w:rPr>
      </w:r>
      <w:r/>
    </w:p>
    <w:p>
      <w:pPr>
        <w:pStyle w:val="113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 承包方式：包工包料；</w:t>
      </w:r>
      <w:r>
        <w:rPr>
          <w:rFonts w:hint="eastAsia" w:ascii="宋体" w:hAnsi="宋体" w:cs="宋体"/>
          <w:color w:val="000000"/>
          <w:sz w:val="24"/>
          <w:szCs w:val="24"/>
          <w:highlight w:val="none"/>
        </w:rPr>
      </w:r>
      <w:r/>
    </w:p>
    <w:p>
      <w:pPr>
        <w:pStyle w:val="113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 工期：本工程具体开工时间以采购人通知为准(时间不得大于承诺的工期)；</w:t>
      </w:r>
      <w:r>
        <w:rPr>
          <w:rFonts w:hint="eastAsia" w:ascii="宋体" w:hAnsi="宋体" w:cs="宋体"/>
          <w:color w:val="000000"/>
          <w:sz w:val="24"/>
          <w:szCs w:val="24"/>
          <w:highlight w:val="none"/>
        </w:rPr>
      </w:r>
      <w:r/>
    </w:p>
    <w:p>
      <w:pPr>
        <w:pStyle w:val="113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 工程质量：合格；</w:t>
      </w:r>
      <w:r>
        <w:rPr>
          <w:rFonts w:hint="eastAsia" w:ascii="宋体" w:hAnsi="宋体" w:cs="宋体"/>
          <w:color w:val="000000"/>
          <w:sz w:val="24"/>
          <w:szCs w:val="24"/>
          <w:highlight w:val="none"/>
        </w:rPr>
      </w:r>
      <w:r/>
    </w:p>
    <w:p>
      <w:pPr>
        <w:pStyle w:val="113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 质保期：</w:t>
      </w:r>
      <w:r>
        <w:rPr>
          <w:rFonts w:hint="eastAsia" w:ascii="宋体" w:hAnsi="宋体" w:cs="宋体"/>
          <w:color w:val="000000"/>
          <w:sz w:val="24"/>
          <w:szCs w:val="24"/>
          <w:highlight w:val="none"/>
          <w:lang w:eastAsia="zh-CN"/>
        </w:rPr>
        <w:t xml:space="preserve">五</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3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 合同价款(人民币大写)：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元，分项价格在乙方提交的报价表中有明确规定。</w:t>
      </w:r>
      <w:r>
        <w:rPr>
          <w:rFonts w:hint="eastAsia" w:ascii="宋体" w:hAnsi="宋体" w:cs="宋体"/>
          <w:color w:val="000000"/>
          <w:sz w:val="24"/>
          <w:szCs w:val="24"/>
          <w:highlight w:val="none"/>
        </w:rPr>
      </w:r>
      <w:r/>
    </w:p>
    <w:p>
      <w:pPr>
        <w:pStyle w:val="1131"/>
        <w:spacing w:line="360" w:lineRule="auto"/>
        <w:rPr>
          <w:rFonts w:hint="eastAsia" w:ascii="宋体" w:hAnsi="宋体" w:cs="宋体"/>
          <w:color w:val="000000"/>
          <w:sz w:val="24"/>
          <w:szCs w:val="24"/>
          <w:highlight w:val="none"/>
        </w:rPr>
      </w:pPr>
      <w:r/>
      <w:bookmarkStart w:id="128" w:name="_bookmark61"/>
      <w:r/>
      <w:bookmarkEnd w:id="128"/>
      <w:r>
        <w:rPr>
          <w:rFonts w:hint="eastAsia" w:ascii="宋体" w:hAnsi="宋体" w:cs="宋体"/>
          <w:color w:val="000000"/>
          <w:spacing w:val="-18"/>
          <w:sz w:val="24"/>
          <w:szCs w:val="24"/>
          <w:highlight w:val="none"/>
        </w:rPr>
        <w:t xml:space="preserve">3</w:t>
      </w:r>
      <w:r>
        <w:rPr>
          <w:rFonts w:hint="eastAsia" w:ascii="宋体" w:hAnsi="宋体" w:cs="宋体"/>
          <w:color w:val="000000"/>
          <w:spacing w:val="-15"/>
          <w:sz w:val="24"/>
          <w:szCs w:val="24"/>
          <w:highlight w:val="none"/>
        </w:rPr>
        <w:t xml:space="preserve">、甲方权利义务</w:t>
      </w:r>
      <w:r>
        <w:rPr>
          <w:rFonts w:hint="eastAsia" w:ascii="宋体" w:hAnsi="宋体" w:cs="宋体"/>
          <w:color w:val="000000"/>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3.1 开工前</w:t>
      </w:r>
      <w:r>
        <w:rPr>
          <w:rFonts w:hint="eastAsia" w:ascii="宋体" w:hAnsi="宋体" w:cs="宋体"/>
          <w:color w:val="000000"/>
          <w:spacing w:val="2"/>
          <w:sz w:val="24"/>
          <w:szCs w:val="24"/>
          <w:highlight w:val="none"/>
          <w:u w:val="single"/>
        </w:rPr>
        <w:t xml:space="preserve">   </w:t>
      </w:r>
      <w:r>
        <w:rPr>
          <w:rFonts w:hint="eastAsia" w:ascii="宋体" w:hAnsi="宋体" w:cs="宋体"/>
          <w:color w:val="000000"/>
          <w:spacing w:val="2"/>
          <w:sz w:val="24"/>
          <w:szCs w:val="24"/>
          <w:highlight w:val="none"/>
        </w:rPr>
        <w:t xml:space="preserve">天，向乙方提供经确认的施工图纸或做法说明</w:t>
      </w:r>
      <w:r>
        <w:rPr>
          <w:rFonts w:hint="eastAsia" w:ascii="宋体" w:hAnsi="宋体" w:cs="宋体"/>
          <w:color w:val="000000"/>
          <w:spacing w:val="2"/>
          <w:sz w:val="24"/>
          <w:szCs w:val="24"/>
          <w:highlight w:val="none"/>
          <w:u w:val="single"/>
        </w:rPr>
        <w:t xml:space="preserve">   </w:t>
      </w:r>
      <w:r>
        <w:rPr>
          <w:rFonts w:hint="eastAsia" w:ascii="宋体" w:hAnsi="宋体" w:cs="宋体"/>
          <w:color w:val="000000"/>
          <w:spacing w:val="2"/>
          <w:sz w:val="24"/>
          <w:szCs w:val="24"/>
          <w:highlight w:val="none"/>
        </w:rPr>
        <w:t xml:space="preserve">份，并向乙方进行现场交底。</w:t>
      </w:r>
      <w:r>
        <w:rPr>
          <w:rFonts w:hint="eastAsia" w:ascii="宋体" w:hAnsi="宋体" w:cs="宋体"/>
          <w:color w:val="000000"/>
          <w:spacing w:val="2"/>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3.2 指派</w:t>
      </w:r>
      <w:r>
        <w:rPr>
          <w:rFonts w:hint="eastAsia" w:ascii="宋体" w:hAnsi="宋体" w:cs="宋体"/>
          <w:color w:val="000000"/>
          <w:spacing w:val="2"/>
          <w:sz w:val="24"/>
          <w:szCs w:val="24"/>
          <w:highlight w:val="none"/>
          <w:u w:val="single"/>
        </w:rPr>
        <w:t xml:space="preserve">   </w:t>
      </w:r>
      <w:r>
        <w:rPr>
          <w:rFonts w:hint="eastAsia" w:ascii="宋体" w:hAnsi="宋体" w:cs="宋体"/>
          <w:color w:val="000000"/>
          <w:spacing w:val="2"/>
          <w:sz w:val="24"/>
          <w:szCs w:val="24"/>
          <w:highlight w:val="none"/>
        </w:rPr>
        <w:t xml:space="preserve">为甲方驻工地代表，负责合同履行。对工程质量进行监督检查，办理验收，变更，登记手续和其他事宜。</w:t>
      </w:r>
      <w:r>
        <w:rPr>
          <w:rFonts w:hint="eastAsia" w:ascii="宋体" w:hAnsi="宋体" w:cs="宋体"/>
          <w:color w:val="000000"/>
          <w:spacing w:val="2"/>
          <w:sz w:val="24"/>
          <w:szCs w:val="24"/>
          <w:highlight w:val="none"/>
        </w:rPr>
      </w:r>
      <w:r/>
    </w:p>
    <w:p>
      <w:pPr>
        <w:pStyle w:val="1131"/>
        <w:ind w:left="32"/>
        <w:spacing w:before="236" w:line="360" w:lineRule="auto"/>
        <w:rPr>
          <w:rFonts w:hint="eastAsia" w:ascii="宋体" w:hAnsi="宋体" w:cs="宋体"/>
          <w:color w:val="000000"/>
          <w:sz w:val="24"/>
          <w:szCs w:val="24"/>
          <w:highlight w:val="none"/>
        </w:rPr>
      </w:pPr>
      <w:r/>
      <w:bookmarkStart w:id="129" w:name="_bookmark62"/>
      <w:r/>
      <w:bookmarkEnd w:id="129"/>
      <w:r>
        <w:rPr>
          <w:rFonts w:hint="eastAsia" w:ascii="宋体" w:hAnsi="宋体" w:cs="宋体"/>
          <w:color w:val="000000"/>
          <w:spacing w:val="1"/>
          <w:sz w:val="24"/>
          <w:szCs w:val="24"/>
          <w:highlight w:val="none"/>
        </w:rPr>
        <w:t xml:space="preserve">4、乙</w:t>
      </w:r>
      <w:r>
        <w:rPr>
          <w:rFonts w:hint="eastAsia" w:ascii="宋体" w:hAnsi="宋体" w:cs="宋体"/>
          <w:color w:val="000000"/>
          <w:sz w:val="24"/>
          <w:szCs w:val="24"/>
          <w:highlight w:val="none"/>
        </w:rPr>
        <w:t xml:space="preserve">方权利义务</w:t>
      </w:r>
      <w:r>
        <w:rPr>
          <w:rFonts w:hint="eastAsia" w:ascii="宋体" w:hAnsi="宋体" w:cs="宋体"/>
          <w:color w:val="000000"/>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4.1参加甲方组织的施工图纸或作法说明的现场交底，拟定施工方案和进度计划， 交甲方审定。</w:t>
      </w:r>
      <w:r>
        <w:rPr>
          <w:rFonts w:hint="eastAsia" w:ascii="宋体" w:hAnsi="宋体" w:cs="宋体"/>
          <w:color w:val="000000"/>
          <w:spacing w:val="2"/>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4.2 指派</w:t>
      </w:r>
      <w:r>
        <w:rPr>
          <w:rFonts w:hint="eastAsia" w:ascii="宋体" w:hAnsi="宋体" w:cs="宋体"/>
          <w:color w:val="000000"/>
          <w:spacing w:val="2"/>
          <w:sz w:val="24"/>
          <w:szCs w:val="24"/>
          <w:highlight w:val="none"/>
          <w:u w:val="single"/>
        </w:rPr>
        <w:t xml:space="preserve">     </w:t>
      </w:r>
      <w:r>
        <w:rPr>
          <w:rFonts w:hint="eastAsia" w:ascii="宋体" w:hAnsi="宋体" w:cs="宋体"/>
          <w:color w:val="000000"/>
          <w:spacing w:val="2"/>
          <w:sz w:val="24"/>
          <w:szCs w:val="24"/>
          <w:highlight w:val="none"/>
        </w:rPr>
        <w:t xml:space="preserve">为乙方项目负责人(项目经理)，负责合同履行。按要求组织施工，保质、保量、按期完成施工任务，解决由乙方负责的各项事宜。</w:t>
      </w:r>
      <w:r>
        <w:rPr>
          <w:rFonts w:hint="eastAsia" w:ascii="宋体" w:hAnsi="宋体" w:cs="宋体"/>
          <w:color w:val="000000"/>
          <w:spacing w:val="2"/>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4.3严格执行施工规范、安全操作规程、防火安全规定、环境保护规定。严格按照图纸或做法说明进行施工，做好各项质量检查记录，参加竣工验收，编制工程决算。</w:t>
      </w:r>
      <w:r>
        <w:rPr>
          <w:rFonts w:hint="eastAsia" w:ascii="宋体" w:hAnsi="宋体" w:cs="宋体"/>
          <w:color w:val="000000"/>
          <w:spacing w:val="2"/>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4.4 遵守国家或地方政府及有关部门对施工现场管理的规定， 妥善保护好施工现场周围建筑物、设备管线、古树名木不受损坏。做好施工现场消防、保卫和垃圾消纳等工作，处理好由于施工带来的扰民问题及与周围单位(住户)的关系。施工安全由乙方负责。</w:t>
      </w:r>
      <w:r>
        <w:rPr>
          <w:rFonts w:hint="eastAsia" w:ascii="宋体" w:hAnsi="宋体" w:cs="宋体"/>
          <w:color w:val="000000"/>
          <w:spacing w:val="2"/>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4.5施工中未经甲方同意或有关部门批准，不得随意拆改原建筑物结构及各种设备管线。</w:t>
      </w:r>
      <w:r>
        <w:rPr>
          <w:rFonts w:hint="eastAsia" w:ascii="宋体" w:hAnsi="宋体" w:cs="宋体"/>
          <w:color w:val="000000"/>
          <w:spacing w:val="2"/>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4.6 工程竣工未移交甲方之前，负责对现场的一切设施和工程成品进行保护。</w:t>
      </w:r>
      <w:r>
        <w:rPr>
          <w:rFonts w:hint="eastAsia" w:ascii="宋体" w:hAnsi="宋体" w:cs="宋体"/>
          <w:color w:val="000000"/>
          <w:spacing w:val="2"/>
          <w:sz w:val="24"/>
          <w:szCs w:val="24"/>
          <w:highlight w:val="none"/>
        </w:rPr>
      </w:r>
      <w:r/>
    </w:p>
    <w:p>
      <w:pPr>
        <w:pStyle w:val="1131"/>
        <w:ind w:left="34"/>
        <w:spacing w:before="240" w:line="360" w:lineRule="auto"/>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5、</w:t>
      </w:r>
      <w:r>
        <w:rPr>
          <w:rFonts w:hint="eastAsia" w:ascii="宋体" w:hAnsi="宋体" w:cs="宋体"/>
          <w:color w:val="000000"/>
          <w:sz w:val="24"/>
          <w:szCs w:val="24"/>
          <w:highlight w:val="none"/>
        </w:rPr>
        <w:t xml:space="preserve">税费</w:t>
      </w:r>
      <w:r>
        <w:rPr>
          <w:rFonts w:hint="eastAsia" w:ascii="宋体" w:hAnsi="宋体" w:cs="宋体"/>
          <w:color w:val="000000"/>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5.1中国政府根据现行税法规定对甲方征收的与本合同有关的一切税费均由甲方负担 (免税部分除外)，磋商文件另有规定的除外。</w:t>
      </w:r>
      <w:r>
        <w:rPr>
          <w:rFonts w:hint="eastAsia" w:ascii="宋体" w:hAnsi="宋体" w:cs="宋体"/>
          <w:color w:val="000000"/>
          <w:spacing w:val="2"/>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5.2中国政府根据现行税法规定对乙方征收的与本合同有关的一切税费均由乙方负担(免税部分除外)。</w:t>
      </w:r>
      <w:r>
        <w:rPr>
          <w:rFonts w:hint="eastAsia" w:ascii="宋体" w:hAnsi="宋体" w:cs="宋体"/>
          <w:color w:val="000000"/>
          <w:spacing w:val="2"/>
          <w:sz w:val="24"/>
          <w:szCs w:val="24"/>
          <w:highlight w:val="none"/>
        </w:rPr>
      </w:r>
      <w:r/>
    </w:p>
    <w:p>
      <w:pPr>
        <w:pStyle w:val="1131"/>
        <w:ind w:left="39"/>
        <w:spacing w:before="233" w:line="360" w:lineRule="auto"/>
        <w:rPr>
          <w:rFonts w:hint="eastAsia" w:ascii="宋体" w:hAnsi="宋体" w:cs="宋体"/>
          <w:color w:val="000000"/>
          <w:sz w:val="24"/>
          <w:szCs w:val="24"/>
          <w:highlight w:val="none"/>
        </w:rPr>
      </w:pPr>
      <w:r/>
      <w:bookmarkStart w:id="130" w:name="_bookmark64"/>
      <w:r/>
      <w:bookmarkEnd w:id="130"/>
      <w:r>
        <w:rPr>
          <w:rFonts w:hint="eastAsia" w:ascii="宋体" w:hAnsi="宋体" w:cs="宋体"/>
          <w:color w:val="000000"/>
          <w:spacing w:val="-1"/>
          <w:sz w:val="24"/>
          <w:szCs w:val="24"/>
          <w:highlight w:val="none"/>
        </w:rPr>
        <w:t xml:space="preserve">6</w:t>
      </w:r>
      <w:r>
        <w:rPr>
          <w:rFonts w:hint="eastAsia" w:ascii="宋体" w:hAnsi="宋体" w:cs="宋体"/>
          <w:color w:val="000000"/>
          <w:sz w:val="24"/>
          <w:szCs w:val="24"/>
          <w:highlight w:val="none"/>
        </w:rPr>
        <w:t xml:space="preserve">、履约保证金</w:t>
      </w:r>
      <w:r>
        <w:rPr>
          <w:rFonts w:hint="eastAsia" w:ascii="宋体" w:hAnsi="宋体" w:cs="宋体"/>
          <w:color w:val="000000"/>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6.1成交投标人应在收到成交通知后五个工作日内，应向采购人交纳中标价的</w:t>
      </w:r>
      <w:r>
        <w:rPr>
          <w:rFonts w:hint="eastAsia" w:ascii="宋体" w:hAnsi="宋体" w:cs="宋体"/>
          <w:color w:val="000000"/>
          <w:spacing w:val="2"/>
          <w:sz w:val="24"/>
          <w:szCs w:val="24"/>
          <w:highlight w:val="none"/>
          <w:u w:val="single"/>
        </w:rPr>
        <w:t xml:space="preserve"> / </w:t>
      </w:r>
      <w:r>
        <w:rPr>
          <w:rFonts w:hint="eastAsia" w:ascii="宋体" w:hAnsi="宋体" w:cs="宋体"/>
          <w:color w:val="000000"/>
          <w:spacing w:val="2"/>
          <w:sz w:val="24"/>
          <w:szCs w:val="24"/>
          <w:highlight w:val="none"/>
        </w:rPr>
        <w:t xml:space="preserve">%作为履约保证金。投标人可自主选择以支票、汇票、保函、保险保单等非现金形式缴纳或提交。</w:t>
      </w:r>
      <w:r>
        <w:rPr>
          <w:rFonts w:hint="eastAsia" w:ascii="宋体" w:hAnsi="宋体" w:cs="宋体"/>
          <w:color w:val="000000"/>
          <w:spacing w:val="2"/>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6.2 如乙方未能履行合同规定的义务，甲方有权从履约保证金中取得补偿。</w:t>
      </w:r>
      <w:r>
        <w:rPr>
          <w:rFonts w:hint="eastAsia" w:ascii="宋体" w:hAnsi="宋体" w:cs="宋体"/>
          <w:color w:val="000000"/>
          <w:spacing w:val="2"/>
          <w:sz w:val="24"/>
          <w:szCs w:val="24"/>
          <w:highlight w:val="none"/>
        </w:rPr>
      </w:r>
      <w:r/>
    </w:p>
    <w:p>
      <w:pPr>
        <w:pStyle w:val="1131"/>
        <w:ind w:left="30" w:right="32"/>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1"/>
          <w:sz w:val="24"/>
          <w:szCs w:val="24"/>
          <w:highlight w:val="none"/>
        </w:rPr>
        <w:t xml:space="preserve">7、关于工</w:t>
      </w:r>
      <w:r>
        <w:rPr>
          <w:rFonts w:hint="eastAsia" w:ascii="宋体" w:hAnsi="宋体" w:cs="宋体"/>
          <w:color w:val="000000"/>
          <w:sz w:val="24"/>
          <w:szCs w:val="24"/>
          <w:highlight w:val="none"/>
        </w:rPr>
        <w:t xml:space="preserve">期的约定</w:t>
      </w:r>
      <w:r>
        <w:rPr>
          <w:rFonts w:hint="eastAsia" w:ascii="宋体" w:hAnsi="宋体" w:cs="宋体"/>
          <w:color w:val="000000"/>
          <w:spacing w:val="2"/>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7.1 因甲方未按约定完成工作，影响工期，工期顺延。</w:t>
      </w:r>
      <w:r>
        <w:rPr>
          <w:rFonts w:hint="eastAsia" w:ascii="宋体" w:hAnsi="宋体" w:cs="宋体"/>
          <w:color w:val="000000"/>
          <w:spacing w:val="2"/>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7.2 因乙方责任，不能按期开工或中途无故停工，影响工期，工期不顺延。</w:t>
      </w:r>
      <w:r>
        <w:rPr>
          <w:rFonts w:hint="eastAsia" w:ascii="宋体" w:hAnsi="宋体" w:cs="宋体"/>
          <w:color w:val="000000"/>
          <w:spacing w:val="2"/>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7.3 因设计变更或非乙方原因造成的停电、停水及不可抗力因素影响，导致停工 8 小时以上(一周内累计计算)工期相应顺延。</w:t>
      </w:r>
      <w:r>
        <w:rPr>
          <w:rFonts w:hint="eastAsia" w:ascii="宋体" w:hAnsi="宋体" w:cs="宋体"/>
          <w:color w:val="000000"/>
          <w:spacing w:val="2"/>
          <w:sz w:val="24"/>
          <w:szCs w:val="24"/>
          <w:highlight w:val="none"/>
        </w:rPr>
      </w:r>
      <w:r/>
    </w:p>
    <w:p>
      <w:pPr>
        <w:pStyle w:val="1131"/>
        <w:ind w:left="37"/>
        <w:spacing w:before="28" w:line="360" w:lineRule="auto"/>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8、关于工</w:t>
      </w:r>
      <w:r>
        <w:rPr>
          <w:rFonts w:hint="eastAsia" w:ascii="宋体" w:hAnsi="宋体" w:cs="宋体"/>
          <w:color w:val="000000"/>
          <w:sz w:val="24"/>
          <w:szCs w:val="24"/>
          <w:highlight w:val="none"/>
        </w:rPr>
        <w:t xml:space="preserve">程质量及验收的约定</w:t>
      </w:r>
      <w:r>
        <w:rPr>
          <w:rFonts w:hint="eastAsia" w:ascii="宋体" w:hAnsi="宋体" w:cs="宋体"/>
          <w:color w:val="000000"/>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8.1本工程以施工图纸或作法说明、设计变更和国家制订的最新施工及验收规范为质 量评定验收标准。</w:t>
      </w:r>
      <w:r>
        <w:rPr>
          <w:rFonts w:hint="eastAsia" w:ascii="宋体" w:hAnsi="宋体" w:cs="宋体"/>
          <w:color w:val="000000"/>
          <w:spacing w:val="2"/>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8.2所有材料进场前须进行环保检测。如果检验合格，检验费由甲方负担；如果检验 不合格，则检验费由乙方负担。</w:t>
      </w:r>
      <w:r>
        <w:rPr>
          <w:rFonts w:hint="eastAsia" w:ascii="宋体" w:hAnsi="宋体" w:cs="宋体"/>
          <w:color w:val="000000"/>
          <w:spacing w:val="2"/>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8.3本工程质量应达到最新国家质量评定合格标准。</w:t>
      </w:r>
      <w:r>
        <w:rPr>
          <w:rFonts w:hint="eastAsia" w:ascii="宋体" w:hAnsi="宋体" w:cs="宋体"/>
          <w:color w:val="000000"/>
          <w:spacing w:val="2"/>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8.4甲乙双方应及时办理隐蔽工程和中间工程的检查与验收手续。甲方不按时参加隐 蔽工程和中间工程验收，乙方可自行验收，甲方应予承认。若甲方要求复验，乙方应按要 求办理复验。若复验合格，甲方应承担复验费用由此造成停工，工期顺延；若复验不合格，其复验及返工费用由乙方承担，但工期也予顺延。</w:t>
      </w:r>
      <w:r>
        <w:rPr>
          <w:rFonts w:hint="eastAsia" w:ascii="宋体" w:hAnsi="宋体" w:cs="宋体"/>
          <w:color w:val="000000"/>
          <w:spacing w:val="2"/>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8.5由于乙方原因造成质量事故，其返工费用由乙方承担，工期不顺延。</w:t>
      </w:r>
      <w:r>
        <w:rPr>
          <w:rFonts w:hint="eastAsia" w:ascii="宋体" w:hAnsi="宋体" w:cs="宋体"/>
          <w:color w:val="000000"/>
          <w:spacing w:val="2"/>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8.6工程竣工后，乙方应通知甲方验收，甲方自接到验收通知日内组织验收，并办理验收、移交手续。如甲方在规定时间内未能组织验收，需及时通知乙方，另定验收日期。但甲方应承认乙方竣工日期。</w:t>
      </w:r>
      <w:r>
        <w:rPr>
          <w:rFonts w:hint="eastAsia" w:ascii="宋体" w:hAnsi="宋体" w:cs="宋体"/>
          <w:color w:val="000000"/>
          <w:spacing w:val="2"/>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8.7 本工程应符合国家环保质量要求,否则应承担违约责任并赔偿甲方损失。</w:t>
      </w:r>
      <w:r>
        <w:rPr>
          <w:rFonts w:hint="eastAsia" w:ascii="宋体" w:hAnsi="宋体" w:cs="宋体"/>
          <w:color w:val="000000"/>
          <w:spacing w:val="2"/>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8.8工程交付尚未使用期间凡属工程遗留问题，乙方在接到甲方书面通知后三天内组 织整改。逾期甲方将组织整改，一切费用由乙方承担。</w:t>
      </w:r>
      <w:r>
        <w:rPr>
          <w:rFonts w:hint="eastAsia" w:ascii="宋体" w:hAnsi="宋体" w:cs="宋体"/>
          <w:color w:val="000000"/>
          <w:spacing w:val="2"/>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8.9 通过验收后</w:t>
      </w:r>
      <w:r>
        <w:rPr>
          <w:rFonts w:hint="eastAsia" w:ascii="宋体" w:hAnsi="宋体" w:cs="宋体"/>
          <w:color w:val="000000"/>
          <w:spacing w:val="2"/>
          <w:sz w:val="24"/>
          <w:szCs w:val="24"/>
          <w:highlight w:val="none"/>
          <w:u w:val="single"/>
        </w:rPr>
        <w:t xml:space="preserve"> 5 </w:t>
      </w:r>
      <w:r>
        <w:rPr>
          <w:rFonts w:hint="eastAsia" w:ascii="宋体" w:hAnsi="宋体" w:cs="宋体"/>
          <w:color w:val="000000"/>
          <w:spacing w:val="2"/>
          <w:sz w:val="24"/>
          <w:szCs w:val="24"/>
          <w:highlight w:val="none"/>
        </w:rPr>
        <w:t xml:space="preserve">个日历天内乙方必须将施工队伍、施工机具、周转材料等全部撤清，</w:t>
      </w:r>
      <w:r>
        <w:rPr>
          <w:rFonts w:hint="eastAsia" w:ascii="宋体" w:hAnsi="宋体" w:cs="宋体"/>
          <w:color w:val="000000"/>
          <w:spacing w:val="2"/>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所有建筑垃圾等必须清运，保持施工现场平整、整洁，塔吊、井架基础等清理完成，如不清运，甲方委托清运，费用由乙方承担在决算中扣除；甲方提供的现场设施应完好，损坏需赔偿。</w:t>
      </w:r>
      <w:r>
        <w:rPr>
          <w:rFonts w:hint="eastAsia" w:ascii="宋体" w:hAnsi="宋体" w:cs="宋体"/>
          <w:color w:val="000000"/>
          <w:spacing w:val="2"/>
          <w:sz w:val="24"/>
          <w:szCs w:val="24"/>
          <w:highlight w:val="none"/>
        </w:rPr>
      </w:r>
      <w:r/>
    </w:p>
    <w:p>
      <w:pPr>
        <w:pStyle w:val="1131"/>
        <w:ind w:left="32"/>
        <w:spacing w:before="29" w:line="360" w:lineRule="auto"/>
        <w:rPr>
          <w:rFonts w:hint="eastAsia" w:ascii="宋体" w:hAnsi="宋体" w:cs="宋体"/>
          <w:color w:val="000000"/>
          <w:sz w:val="24"/>
          <w:szCs w:val="24"/>
          <w:highlight w:val="none"/>
        </w:rPr>
      </w:pPr>
      <w:r/>
      <w:bookmarkStart w:id="131" w:name="_bookmark67"/>
      <w:r/>
      <w:bookmarkEnd w:id="131"/>
      <w:r>
        <w:rPr>
          <w:rFonts w:hint="eastAsia" w:ascii="宋体" w:hAnsi="宋体" w:cs="宋体"/>
          <w:color w:val="000000"/>
          <w:spacing w:val="1"/>
          <w:sz w:val="24"/>
          <w:szCs w:val="24"/>
          <w:highlight w:val="none"/>
        </w:rPr>
        <w:t xml:space="preserve">9、关于工程价款及结算</w:t>
      </w:r>
      <w:r>
        <w:rPr>
          <w:rFonts w:hint="eastAsia" w:ascii="宋体" w:hAnsi="宋体" w:cs="宋体"/>
          <w:color w:val="000000"/>
          <w:sz w:val="24"/>
          <w:szCs w:val="24"/>
          <w:highlight w:val="none"/>
        </w:rPr>
        <w:t xml:space="preserve">的约定</w:t>
      </w:r>
      <w:r>
        <w:rPr>
          <w:rFonts w:hint="eastAsia" w:ascii="宋体" w:hAnsi="宋体" w:cs="宋体"/>
          <w:color w:val="000000"/>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sectPr>
          <w:footerReference w:type="default" r:id="rId27"/>
          <w:footnotePr/>
          <w:endnotePr/>
          <w:type w:val="nextPage"/>
          <w:pgSz w:w="11907" w:h="16839" w:orient="portrait"/>
          <w:pgMar w:top="1125" w:right="1238" w:bottom="1392" w:left="1240" w:header="709" w:footer="709" w:gutter="0"/>
          <w:cols w:num="1" w:sep="0" w:space="1701" w:equalWidth="1"/>
          <w:docGrid w:linePitch="360"/>
        </w:sectPr>
      </w:pPr>
      <w:r>
        <w:rPr>
          <w:rFonts w:hint="eastAsia" w:ascii="宋体" w:hAnsi="宋体" w:cs="宋体"/>
          <w:color w:val="000000"/>
          <w:spacing w:val="2"/>
          <w:sz w:val="24"/>
          <w:szCs w:val="24"/>
          <w:highlight w:val="none"/>
        </w:rPr>
        <w:t xml:space="preserve">9.1 双方商定本合同价款采用第</w:t>
      </w:r>
      <w:r>
        <w:rPr>
          <w:rFonts w:hint="eastAsia" w:ascii="宋体" w:hAnsi="宋体" w:cs="宋体"/>
          <w:color w:val="000000"/>
          <w:spacing w:val="2"/>
          <w:sz w:val="24"/>
          <w:szCs w:val="24"/>
          <w:highlight w:val="none"/>
          <w:u w:val="single"/>
        </w:rPr>
        <w:t xml:space="preserve"> (a) </w:t>
      </w:r>
      <w:r>
        <w:rPr>
          <w:rFonts w:hint="eastAsia" w:ascii="宋体" w:hAnsi="宋体" w:cs="宋体"/>
          <w:color w:val="000000"/>
          <w:spacing w:val="2"/>
          <w:sz w:val="24"/>
          <w:szCs w:val="24"/>
          <w:highlight w:val="none"/>
        </w:rPr>
        <w:t xml:space="preserve">种：</w:t>
      </w:r>
      <w:r>
        <w:rPr>
          <w:rFonts w:hint="eastAsia" w:ascii="宋体" w:hAnsi="宋体" w:cs="宋体"/>
          <w:color w:val="000000"/>
          <w:spacing w:val="2"/>
          <w:sz w:val="24"/>
          <w:szCs w:val="24"/>
          <w:highlight w:val="none"/>
        </w:rPr>
      </w:r>
      <w:r/>
    </w:p>
    <w:p>
      <w:pPr>
        <w:pStyle w:val="1131"/>
        <w:ind w:left="30" w:right="32"/>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(a)固定价格(风险费已包含在报价中，其它合同以外价款的调整方法为：</w:t>
      </w:r>
      <w:r>
        <w:rPr>
          <w:rFonts w:hint="eastAsia" w:ascii="宋体" w:hAnsi="宋体" w:cs="宋体"/>
          <w:color w:val="000000"/>
          <w:spacing w:val="2"/>
          <w:sz w:val="24"/>
          <w:szCs w:val="24"/>
          <w:highlight w:val="none"/>
          <w:u w:val="single"/>
        </w:rPr>
        <w:t xml:space="preserve">工程量清单中有的项目(项目特征相同)按磋商报价的综合单价计算；磋商报价中没有综合单价的新的工程量清单项目， 按照《建设工程工程量清单计价规范》《江苏省建筑与装饰工程计价表》中的人工、各种主辅材、机械台班耗用量、磋商报价时的人工、机械台班单价、管理费、利润等费用标准及各种主辅材价格(无磋商价的按市场价) 计算，其相应综合单价及市场价由乙方按让利后提出，经甲方(监理方)确认后报甲方安排的审计部门核定)</w:t>
      </w:r>
      <w:r>
        <w:rPr>
          <w:rFonts w:hint="eastAsia" w:ascii="宋体" w:hAnsi="宋体" w:cs="宋体"/>
          <w:color w:val="000000"/>
          <w:spacing w:val="2"/>
          <w:sz w:val="24"/>
          <w:szCs w:val="24"/>
          <w:highlight w:val="none"/>
        </w:rPr>
        <w:t xml:space="preserve">。</w:t>
      </w:r>
      <w:r>
        <w:rPr>
          <w:rFonts w:hint="eastAsia" w:ascii="宋体" w:hAnsi="宋体" w:cs="宋体"/>
          <w:color w:val="000000"/>
          <w:spacing w:val="2"/>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(b)固定价格加%包干风险系数计算。包干风险包括内容：。</w:t>
      </w:r>
      <w:r>
        <w:rPr>
          <w:rFonts w:hint="eastAsia" w:ascii="宋体" w:hAnsi="宋体" w:cs="宋体"/>
          <w:color w:val="000000"/>
          <w:spacing w:val="2"/>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(c)可调价格：按照国家有关工程计价规定计算造价，并按有关规定进行调整和竣工结算。</w:t>
      </w:r>
      <w:r>
        <w:rPr>
          <w:rFonts w:hint="eastAsia" w:ascii="宋体" w:hAnsi="宋体" w:cs="宋体"/>
          <w:color w:val="000000"/>
          <w:spacing w:val="2"/>
          <w:sz w:val="24"/>
          <w:szCs w:val="24"/>
          <w:highlight w:val="none"/>
        </w:rPr>
      </w:r>
      <w:r/>
    </w:p>
    <w:p>
      <w:pPr>
        <w:pStyle w:val="1131"/>
        <w:ind w:left="512"/>
        <w:spacing w:before="1" w:line="360" w:lineRule="auto"/>
        <w:rPr>
          <w:rFonts w:hint="eastAsia" w:ascii="宋体" w:hAnsi="宋体" w:cs="宋体"/>
          <w:color w:val="000000"/>
          <w:spacing w:val="-4"/>
          <w:sz w:val="24"/>
          <w:szCs w:val="24"/>
          <w:highlight w:val="none"/>
        </w:rPr>
      </w:pPr>
      <w:r/>
      <w:bookmarkStart w:id="132" w:name="_bookmark68"/>
      <w:r/>
      <w:bookmarkEnd w:id="132"/>
      <w:r>
        <w:rPr>
          <w:rFonts w:hint="eastAsia" w:ascii="宋体" w:hAnsi="宋体" w:cs="宋体"/>
          <w:color w:val="000000"/>
          <w:spacing w:val="-6"/>
          <w:sz w:val="24"/>
          <w:szCs w:val="24"/>
          <w:highlight w:val="none"/>
        </w:rPr>
        <w:t xml:space="preserve">9</w:t>
      </w:r>
      <w:r>
        <w:rPr>
          <w:rFonts w:hint="eastAsia" w:ascii="宋体" w:hAnsi="宋体" w:cs="宋体"/>
          <w:color w:val="000000"/>
          <w:spacing w:val="-4"/>
          <w:sz w:val="24"/>
          <w:szCs w:val="24"/>
          <w:highlight w:val="none"/>
        </w:rPr>
        <w:t xml:space="preserve">.2 付款方式：</w:t>
      </w:r>
      <w:r>
        <w:rPr>
          <w:rFonts w:hint="eastAsia" w:ascii="宋体" w:hAnsi="宋体" w:cs="宋体"/>
          <w:color w:val="000000"/>
          <w:spacing w:val="-4"/>
          <w:sz w:val="24"/>
          <w:szCs w:val="24"/>
          <w:highlight w:val="none"/>
        </w:rPr>
      </w:r>
      <w:r/>
    </w:p>
    <w:p>
      <w:pPr>
        <w:pStyle w:val="1131"/>
        <w:ind w:left="186" w:right="42" w:firstLine="368"/>
        <w:spacing w:before="3" w:line="360" w:lineRule="auto"/>
        <w:rPr>
          <w:rFonts w:hint="eastAsia" w:ascii="宋体" w:hAnsi="宋体" w:cs="宋体"/>
          <w:color w:val="000000"/>
          <w:spacing w:val="-1"/>
          <w:sz w:val="24"/>
          <w:szCs w:val="24"/>
          <w:highlight w:val="none"/>
        </w:rPr>
      </w:pPr>
      <w:r>
        <w:rPr>
          <w:rFonts w:hint="eastAsia" w:ascii="宋体" w:hAnsi="宋体" w:cs="宋体"/>
          <w:iCs/>
          <w:color w:val="000000"/>
          <w:sz w:val="24"/>
          <w:szCs w:val="24"/>
          <w:highlight w:val="none"/>
        </w:rPr>
        <w:t xml:space="preserve">合同签订且收到乙方开具的发票后10个工作日内支付签约合同价的30%作为预付款，货到安装验收合格后内支付至签约合同价的的70%，余款在维保期满后付清。</w:t>
      </w:r>
      <w:r>
        <w:rPr>
          <w:rFonts w:hint="eastAsia" w:ascii="宋体" w:hAnsi="宋体" w:cs="宋体"/>
          <w:color w:val="000000"/>
          <w:spacing w:val="-1"/>
          <w:sz w:val="24"/>
          <w:szCs w:val="24"/>
          <w:highlight w:val="none"/>
        </w:rPr>
      </w:r>
      <w:r/>
    </w:p>
    <w:p>
      <w:pPr>
        <w:pStyle w:val="1131"/>
        <w:ind w:left="56"/>
        <w:spacing w:before="97" w:line="360" w:lineRule="auto"/>
        <w:rPr>
          <w:rFonts w:hint="eastAsia" w:ascii="宋体" w:hAnsi="宋体" w:cs="宋体"/>
          <w:color w:val="000000"/>
          <w:sz w:val="24"/>
          <w:szCs w:val="24"/>
          <w:highlight w:val="none"/>
        </w:rPr>
      </w:pPr>
      <w:r/>
      <w:bookmarkStart w:id="133" w:name="_bookmark81"/>
      <w:r/>
      <w:bookmarkEnd w:id="133"/>
      <w:r>
        <w:rPr>
          <w:rFonts w:hint="eastAsia" w:ascii="宋体" w:hAnsi="宋体" w:cs="宋体"/>
          <w:color w:val="000000"/>
          <w:spacing w:val="-1"/>
          <w:sz w:val="24"/>
          <w:szCs w:val="24"/>
          <w:highlight w:val="none"/>
        </w:rPr>
        <w:t xml:space="preserve">10、关于材料及配件供应的</w:t>
      </w:r>
      <w:r>
        <w:rPr>
          <w:rFonts w:hint="eastAsia" w:ascii="宋体" w:hAnsi="宋体" w:cs="宋体"/>
          <w:color w:val="000000"/>
          <w:sz w:val="24"/>
          <w:szCs w:val="24"/>
          <w:highlight w:val="none"/>
        </w:rPr>
        <w:t xml:space="preserve">约定</w:t>
      </w:r>
      <w:r>
        <w:rPr>
          <w:rFonts w:hint="eastAsia" w:ascii="宋体" w:hAnsi="宋体" w:cs="宋体"/>
          <w:color w:val="000000"/>
          <w:sz w:val="24"/>
          <w:szCs w:val="24"/>
          <w:highlight w:val="none"/>
        </w:rPr>
      </w:r>
      <w:r/>
    </w:p>
    <w:p>
      <w:pPr>
        <w:pStyle w:val="1131"/>
        <w:ind w:left="234" w:right="33" w:firstLine="354"/>
        <w:spacing w:before="220" w:line="360" w:lineRule="auto"/>
        <w:rPr>
          <w:rFonts w:hint="eastAsia" w:ascii="宋体" w:hAnsi="宋体" w:cs="宋体"/>
          <w:color w:val="000000"/>
          <w:sz w:val="24"/>
          <w:szCs w:val="24"/>
          <w:highlight w:val="none"/>
        </w:rPr>
      </w:pPr>
      <w:r>
        <w:rPr>
          <w:rFonts w:hint="eastAsia" w:ascii="宋体" w:hAnsi="宋体" w:cs="宋体"/>
          <w:color w:val="000000"/>
          <w:spacing w:val="-20"/>
          <w:sz w:val="24"/>
          <w:szCs w:val="24"/>
          <w:highlight w:val="none"/>
        </w:rPr>
        <w:t xml:space="preserve">1</w:t>
      </w:r>
      <w:r>
        <w:rPr>
          <w:rFonts w:hint="eastAsia" w:ascii="宋体" w:hAnsi="宋体" w:cs="宋体"/>
          <w:color w:val="000000"/>
          <w:spacing w:val="-15"/>
          <w:sz w:val="24"/>
          <w:szCs w:val="24"/>
          <w:highlight w:val="none"/>
        </w:rPr>
        <w:t xml:space="preserve">0</w:t>
      </w:r>
      <w:r>
        <w:rPr>
          <w:rFonts w:hint="eastAsia" w:ascii="宋体" w:hAnsi="宋体" w:cs="宋体"/>
          <w:color w:val="000000"/>
          <w:spacing w:val="-10"/>
          <w:sz w:val="24"/>
          <w:szCs w:val="24"/>
          <w:highlight w:val="none"/>
        </w:rPr>
        <w:t xml:space="preserve">.1 凡由乙方采购的材料及配件、设备，如不符合质量要求或规格有差异，应禁止使</w:t>
      </w:r>
      <w:r>
        <w:rPr>
          <w:rFonts w:hint="eastAsia" w:ascii="宋体" w:hAnsi="宋体" w:cs="宋体"/>
          <w:color w:val="000000"/>
          <w:spacing w:val="-4"/>
          <w:sz w:val="24"/>
          <w:szCs w:val="24"/>
          <w:highlight w:val="none"/>
        </w:rPr>
        <w:t xml:space="preserve">用。若已使用，</w:t>
      </w:r>
      <w:r>
        <w:rPr>
          <w:rFonts w:hint="eastAsia" w:ascii="宋体" w:hAnsi="宋体" w:cs="宋体"/>
          <w:color w:val="000000"/>
          <w:spacing w:val="-2"/>
          <w:sz w:val="24"/>
          <w:szCs w:val="24"/>
          <w:highlight w:val="none"/>
        </w:rPr>
        <w:t xml:space="preserve">对工程造成的损失由乙方负责。</w:t>
      </w:r>
      <w:r>
        <w:rPr>
          <w:rFonts w:hint="eastAsia" w:ascii="宋体" w:hAnsi="宋体" w:cs="宋体"/>
          <w:color w:val="000000"/>
          <w:sz w:val="24"/>
          <w:szCs w:val="24"/>
          <w:highlight w:val="none"/>
        </w:rPr>
      </w:r>
      <w:r/>
    </w:p>
    <w:p>
      <w:pPr>
        <w:pStyle w:val="1131"/>
        <w:ind w:left="588"/>
        <w:spacing w:line="360" w:lineRule="auto"/>
        <w:rPr>
          <w:rFonts w:hint="eastAsia" w:ascii="宋体" w:hAnsi="宋体" w:cs="宋体"/>
          <w:color w:val="000000"/>
          <w:sz w:val="24"/>
          <w:szCs w:val="24"/>
          <w:highlight w:val="none"/>
        </w:rPr>
      </w:pPr>
      <w:r>
        <w:rPr>
          <w:rFonts w:hint="eastAsia" w:ascii="宋体" w:hAnsi="宋体" w:cs="宋体"/>
          <w:color w:val="000000"/>
          <w:spacing w:val="-4"/>
          <w:sz w:val="24"/>
          <w:szCs w:val="24"/>
          <w:highlight w:val="none"/>
        </w:rPr>
        <w:t xml:space="preserve">1</w:t>
      </w:r>
      <w:r>
        <w:rPr>
          <w:rFonts w:hint="eastAsia" w:ascii="宋体" w:hAnsi="宋体" w:cs="宋体"/>
          <w:color w:val="000000"/>
          <w:spacing w:val="-3"/>
          <w:sz w:val="24"/>
          <w:szCs w:val="24"/>
          <w:highlight w:val="none"/>
        </w:rPr>
        <w:t xml:space="preserve">0.2 工程项目中所用所有主材必须征得甲方认可，甲方保留主材甲供的权利。</w:t>
      </w:r>
      <w:r>
        <w:rPr>
          <w:rFonts w:hint="eastAsia" w:ascii="宋体" w:hAnsi="宋体" w:cs="宋体"/>
          <w:color w:val="000000"/>
          <w:sz w:val="24"/>
          <w:szCs w:val="24"/>
          <w:highlight w:val="none"/>
        </w:rPr>
      </w:r>
      <w:r/>
    </w:p>
    <w:p>
      <w:pPr>
        <w:pStyle w:val="1131"/>
        <w:ind w:left="56"/>
        <w:spacing w:before="239" w:line="360" w:lineRule="auto"/>
        <w:rPr>
          <w:rFonts w:hint="eastAsia" w:ascii="宋体" w:hAnsi="宋体" w:cs="宋体"/>
          <w:color w:val="000000"/>
          <w:sz w:val="24"/>
          <w:szCs w:val="24"/>
          <w:highlight w:val="none"/>
        </w:rPr>
      </w:pPr>
      <w:r/>
      <w:bookmarkStart w:id="134" w:name="_bookmark82"/>
      <w:r/>
      <w:bookmarkEnd w:id="134"/>
      <w:r>
        <w:rPr>
          <w:rFonts w:hint="eastAsia" w:ascii="宋体" w:hAnsi="宋体" w:cs="宋体"/>
          <w:color w:val="000000"/>
          <w:spacing w:val="-1"/>
          <w:sz w:val="24"/>
          <w:szCs w:val="24"/>
          <w:highlight w:val="none"/>
        </w:rPr>
        <w:t xml:space="preserve">11、有关安全生产和防火的</w:t>
      </w:r>
      <w:r>
        <w:rPr>
          <w:rFonts w:hint="eastAsia" w:ascii="宋体" w:hAnsi="宋体" w:cs="宋体"/>
          <w:color w:val="000000"/>
          <w:sz w:val="24"/>
          <w:szCs w:val="24"/>
          <w:highlight w:val="none"/>
        </w:rPr>
        <w:t xml:space="preserve">约定</w:t>
      </w:r>
      <w:r>
        <w:rPr>
          <w:rFonts w:hint="eastAsia" w:ascii="宋体" w:hAnsi="宋体" w:cs="宋体"/>
          <w:color w:val="000000"/>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11.1 甲方提供的施工图纸或作法说明，应符合《中华人民共和国消防条例》和有关防火设计规范。</w:t>
      </w:r>
      <w:r>
        <w:rPr>
          <w:rFonts w:hint="eastAsia" w:ascii="宋体" w:hAnsi="宋体" w:cs="宋体"/>
          <w:color w:val="000000"/>
          <w:spacing w:val="2"/>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11.2 乙方在施工期间应严格遵守《建设工程安全生产管理条例》、《建筑安装工人安全技术操作规程》、《中华人民共和国消防条例》和其它相关的法规、规范。</w:t>
      </w:r>
      <w:r>
        <w:rPr>
          <w:rFonts w:hint="eastAsia" w:ascii="宋体" w:hAnsi="宋体" w:cs="宋体"/>
          <w:color w:val="000000"/>
          <w:spacing w:val="2"/>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11.3 由于甲方确认的图纸或作法说明，违反有关安全操作规程、消防条例和防火设计规范，导致发生安全或火灾事故，甲方应承担由此产生的一切经济损失。</w:t>
      </w:r>
      <w:r>
        <w:rPr>
          <w:rFonts w:hint="eastAsia" w:ascii="宋体" w:hAnsi="宋体" w:cs="宋体"/>
          <w:color w:val="000000"/>
          <w:spacing w:val="2"/>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sectPr>
          <w:footnotePr/>
          <w:endnotePr/>
          <w:type w:val="nextPage"/>
          <w:pgSz w:w="11907" w:h="16839" w:orient="portrait"/>
          <w:pgMar w:top="1125" w:right="1238" w:bottom="1392" w:left="1240" w:header="709" w:footer="709" w:gutter="0"/>
          <w:cols w:num="1" w:sep="0" w:space="1701" w:equalWidth="1"/>
          <w:docGrid w:linePitch="360"/>
        </w:sectPr>
      </w:pPr>
      <w:r>
        <w:rPr>
          <w:rFonts w:hint="eastAsia" w:ascii="宋体" w:hAnsi="宋体" w:cs="宋体"/>
          <w:color w:val="000000"/>
          <w:spacing w:val="2"/>
          <w:sz w:val="24"/>
          <w:szCs w:val="24"/>
          <w:highlight w:val="none"/>
        </w:rPr>
        <w:t xml:space="preserve">11.4 由于乙方在施工生产过程中违反有关安全操作规程、消防条例，导致发生安全或火灾等事故，乙方应承担由此引发的一切经济损失及法律责任。</w:t>
      </w:r>
      <w:r>
        <w:rPr>
          <w:rFonts w:hint="eastAsia" w:ascii="宋体" w:hAnsi="宋体" w:cs="宋体"/>
          <w:color w:val="000000"/>
          <w:spacing w:val="2"/>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r>
      <w:r/>
    </w:p>
    <w:p>
      <w:pPr>
        <w:pStyle w:val="1131"/>
        <w:ind w:left="30" w:right="32" w:firstLine="500"/>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11.5 本工程必须达到现行版的国家及江苏省的一切有关法律、法规要求，若本工程实施期间有新的相关法律、法规标准出台，则仍应满足新的标准要求。</w:t>
      </w:r>
      <w:r>
        <w:rPr>
          <w:rFonts w:hint="eastAsia" w:ascii="宋体" w:hAnsi="宋体" w:cs="宋体"/>
          <w:color w:val="000000"/>
          <w:spacing w:val="2"/>
          <w:sz w:val="24"/>
          <w:szCs w:val="24"/>
          <w:highlight w:val="none"/>
        </w:rPr>
      </w:r>
      <w:r/>
    </w:p>
    <w:p>
      <w:pPr>
        <w:pStyle w:val="1131"/>
        <w:ind w:left="56"/>
        <w:spacing w:before="33" w:line="360" w:lineRule="auto"/>
        <w:rPr>
          <w:rFonts w:hint="eastAsia" w:ascii="宋体" w:hAnsi="宋体" w:cs="宋体"/>
          <w:color w:val="000000"/>
          <w:sz w:val="24"/>
          <w:szCs w:val="24"/>
          <w:highlight w:val="none"/>
        </w:rPr>
      </w:pPr>
      <w:r/>
      <w:bookmarkStart w:id="135" w:name="_bookmark83"/>
      <w:r/>
      <w:bookmarkEnd w:id="135"/>
      <w:r>
        <w:rPr>
          <w:rFonts w:hint="eastAsia" w:ascii="宋体" w:hAnsi="宋体" w:cs="宋体"/>
          <w:color w:val="000000"/>
          <w:spacing w:val="-3"/>
          <w:sz w:val="24"/>
          <w:szCs w:val="24"/>
          <w:highlight w:val="none"/>
        </w:rPr>
        <w:t xml:space="preserve">12、违约责任</w:t>
      </w:r>
      <w:r>
        <w:rPr>
          <w:rFonts w:hint="eastAsia" w:ascii="宋体" w:hAnsi="宋体" w:cs="宋体"/>
          <w:color w:val="000000"/>
          <w:sz w:val="24"/>
          <w:szCs w:val="24"/>
          <w:highlight w:val="none"/>
        </w:rPr>
      </w:r>
      <w:r/>
    </w:p>
    <w:p>
      <w:pPr>
        <w:pStyle w:val="1131"/>
        <w:ind w:left="37" w:right="26" w:firstLine="491"/>
        <w:spacing w:before="225" w:line="360" w:lineRule="auto"/>
        <w:rPr>
          <w:rFonts w:hint="eastAsia" w:ascii="宋体" w:hAnsi="宋体" w:cs="宋体"/>
          <w:color w:val="000000"/>
          <w:sz w:val="24"/>
          <w:szCs w:val="24"/>
          <w:highlight w:val="none"/>
        </w:rPr>
      </w:pPr>
      <w:r>
        <w:rPr>
          <w:rFonts w:hint="eastAsia" w:ascii="宋体" w:hAnsi="宋体" w:cs="宋体"/>
          <w:color w:val="000000"/>
          <w:spacing w:val="-20"/>
          <w:sz w:val="24"/>
          <w:szCs w:val="24"/>
          <w:highlight w:val="none"/>
        </w:rPr>
        <w:t xml:space="preserve">12</w:t>
      </w:r>
      <w:r>
        <w:rPr>
          <w:rFonts w:hint="eastAsia" w:ascii="宋体" w:hAnsi="宋体" w:cs="宋体"/>
          <w:color w:val="000000"/>
          <w:spacing w:val="-19"/>
          <w:sz w:val="24"/>
          <w:szCs w:val="24"/>
          <w:highlight w:val="none"/>
        </w:rPr>
        <w:t xml:space="preserve">.</w:t>
      </w:r>
      <w:r>
        <w:rPr>
          <w:rFonts w:hint="eastAsia" w:ascii="宋体" w:hAnsi="宋体" w:cs="宋体"/>
          <w:color w:val="000000"/>
          <w:spacing w:val="-10"/>
          <w:sz w:val="24"/>
          <w:szCs w:val="24"/>
          <w:highlight w:val="none"/>
        </w:rPr>
        <w:t xml:space="preserve">1由于乙方原因，逾期竣工，每逾期一天，乙方支付甲方</w:t>
      </w:r>
      <w:r>
        <w:rPr>
          <w:rFonts w:hint="eastAsia" w:ascii="宋体" w:hAnsi="宋体" w:cs="宋体"/>
          <w:color w:val="000000"/>
          <w:spacing w:val="-10"/>
          <w:sz w:val="24"/>
          <w:szCs w:val="24"/>
          <w:highlight w:val="none"/>
          <w:u w:val="single"/>
        </w:rPr>
        <w:t xml:space="preserve">5000</w:t>
      </w:r>
      <w:r>
        <w:rPr>
          <w:rFonts w:hint="eastAsia" w:ascii="宋体" w:hAnsi="宋体" w:cs="宋体"/>
          <w:color w:val="000000"/>
          <w:spacing w:val="-10"/>
          <w:sz w:val="24"/>
          <w:szCs w:val="24"/>
          <w:highlight w:val="none"/>
        </w:rPr>
        <w:t xml:space="preserve">元违约金，逾期竣</w:t>
      </w:r>
      <w:r>
        <w:rPr>
          <w:rFonts w:hint="eastAsia" w:ascii="宋体" w:hAnsi="宋体" w:cs="宋体"/>
          <w:color w:val="000000"/>
          <w:spacing w:val="-5"/>
          <w:sz w:val="24"/>
          <w:szCs w:val="24"/>
          <w:highlight w:val="none"/>
        </w:rPr>
        <w:t xml:space="preserve">工超过 30 天的甲方及委托采购机构有权不予退还乙方的履约保证金</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31"/>
        <w:ind w:left="30" w:right="32" w:firstLine="500"/>
        <w:spacing w:line="360" w:lineRule="auto"/>
        <w:rPr>
          <w:rFonts w:hint="eastAsia" w:ascii="宋体" w:hAnsi="宋体" w:cs="宋体"/>
          <w:color w:val="000000"/>
          <w:sz w:val="24"/>
          <w:szCs w:val="24"/>
          <w:highlight w:val="none"/>
        </w:rPr>
      </w:pPr>
      <w:r>
        <w:rPr>
          <w:rFonts w:hint="eastAsia" w:ascii="宋体" w:hAnsi="宋体" w:cs="宋体"/>
          <w:color w:val="000000"/>
          <w:spacing w:val="4"/>
          <w:sz w:val="24"/>
          <w:szCs w:val="24"/>
          <w:highlight w:val="none"/>
        </w:rPr>
        <w:t xml:space="preserve">12.2未经甲</w:t>
      </w:r>
      <w:r>
        <w:rPr>
          <w:rFonts w:hint="eastAsia" w:ascii="宋体" w:hAnsi="宋体" w:cs="宋体"/>
          <w:color w:val="000000"/>
          <w:spacing w:val="3"/>
          <w:sz w:val="24"/>
          <w:szCs w:val="24"/>
          <w:highlight w:val="none"/>
        </w:rPr>
        <w:t xml:space="preserve">方</w:t>
      </w:r>
      <w:r>
        <w:rPr>
          <w:rFonts w:hint="eastAsia" w:ascii="宋体" w:hAnsi="宋体" w:cs="宋体"/>
          <w:color w:val="000000"/>
          <w:spacing w:val="2"/>
          <w:sz w:val="24"/>
          <w:szCs w:val="24"/>
          <w:highlight w:val="none"/>
        </w:rPr>
        <w:t xml:space="preserve">同意乙方不得更换项目负责人及项目管理班子人员，否则每更换项目</w:t>
      </w:r>
      <w:r>
        <w:rPr>
          <w:rFonts w:hint="eastAsia" w:ascii="宋体" w:hAnsi="宋体" w:cs="宋体"/>
          <w:color w:val="000000"/>
          <w:spacing w:val="-9"/>
          <w:sz w:val="24"/>
          <w:szCs w:val="24"/>
          <w:highlight w:val="none"/>
        </w:rPr>
        <w:t xml:space="preserve">负责人一次，甲方将从工程款中扣除违约金</w:t>
      </w:r>
      <w:r>
        <w:rPr>
          <w:rFonts w:hint="eastAsia" w:ascii="宋体" w:hAnsi="宋体" w:cs="宋体"/>
          <w:color w:val="000000"/>
          <w:spacing w:val="-9"/>
          <w:sz w:val="24"/>
          <w:szCs w:val="24"/>
          <w:highlight w:val="none"/>
          <w:u w:val="single"/>
        </w:rPr>
        <w:t xml:space="preserve">1万</w:t>
      </w:r>
      <w:r>
        <w:rPr>
          <w:rFonts w:hint="eastAsia" w:ascii="宋体" w:hAnsi="宋体" w:cs="宋体"/>
          <w:color w:val="000000"/>
          <w:spacing w:val="-9"/>
          <w:sz w:val="24"/>
          <w:szCs w:val="24"/>
          <w:highlight w:val="none"/>
        </w:rPr>
        <w:t xml:space="preserve">元；项目管理班子其它人员每更换一次</w:t>
      </w:r>
      <w:r>
        <w:rPr>
          <w:rFonts w:hint="eastAsia" w:ascii="宋体" w:hAnsi="宋体" w:cs="宋体"/>
          <w:color w:val="000000"/>
          <w:spacing w:val="-3"/>
          <w:sz w:val="24"/>
          <w:szCs w:val="24"/>
          <w:highlight w:val="none"/>
        </w:rPr>
        <w:t xml:space="preserve">，</w:t>
      </w:r>
      <w:r>
        <w:rPr>
          <w:rFonts w:hint="eastAsia" w:ascii="宋体" w:hAnsi="宋体" w:cs="宋体"/>
          <w:color w:val="000000"/>
          <w:spacing w:val="-14"/>
          <w:sz w:val="24"/>
          <w:szCs w:val="24"/>
          <w:highlight w:val="none"/>
        </w:rPr>
        <w:t xml:space="preserve">或项目负责</w:t>
      </w:r>
      <w:r>
        <w:rPr>
          <w:rFonts w:hint="eastAsia" w:ascii="宋体" w:hAnsi="宋体" w:cs="宋体"/>
          <w:color w:val="000000"/>
          <w:spacing w:val="-7"/>
          <w:sz w:val="24"/>
          <w:szCs w:val="24"/>
          <w:highlight w:val="none"/>
        </w:rPr>
        <w:t xml:space="preserve">人月到位率不足80%的，甲方将从工程款中扣除违约金</w:t>
      </w:r>
      <w:r>
        <w:rPr>
          <w:rFonts w:hint="eastAsia" w:ascii="宋体" w:hAnsi="宋体" w:cs="宋体"/>
          <w:color w:val="000000"/>
          <w:spacing w:val="-7"/>
          <w:sz w:val="24"/>
          <w:szCs w:val="24"/>
          <w:highlight w:val="none"/>
          <w:u w:val="single"/>
        </w:rPr>
        <w:t xml:space="preserve">5000</w:t>
      </w:r>
      <w:r>
        <w:rPr>
          <w:rFonts w:hint="eastAsia" w:ascii="宋体" w:hAnsi="宋体" w:cs="宋体"/>
          <w:color w:val="000000"/>
          <w:spacing w:val="-7"/>
          <w:sz w:val="24"/>
          <w:szCs w:val="24"/>
          <w:highlight w:val="none"/>
        </w:rPr>
        <w:t xml:space="preserve">元；项目班子管理</w:t>
      </w:r>
      <w:r>
        <w:rPr>
          <w:rFonts w:hint="eastAsia" w:ascii="宋体" w:hAnsi="宋体" w:cs="宋体"/>
          <w:color w:val="000000"/>
          <w:spacing w:val="4"/>
          <w:sz w:val="24"/>
          <w:szCs w:val="24"/>
          <w:highlight w:val="none"/>
        </w:rPr>
        <w:t xml:space="preserve">人员(除项目经理外</w:t>
      </w:r>
      <w:r>
        <w:rPr>
          <w:rFonts w:hint="eastAsia" w:ascii="宋体" w:hAnsi="宋体" w:cs="宋体"/>
          <w:color w:val="000000"/>
          <w:spacing w:val="2"/>
          <w:sz w:val="24"/>
          <w:szCs w:val="24"/>
          <w:highlight w:val="none"/>
        </w:rPr>
        <w:t xml:space="preserve">)月到位率达不到90%的，每人次罚壹仟元。</w:t>
      </w:r>
      <w:r>
        <w:rPr>
          <w:rFonts w:hint="eastAsia" w:ascii="宋体" w:hAnsi="宋体" w:cs="宋体"/>
          <w:color w:val="000000"/>
          <w:sz w:val="24"/>
          <w:szCs w:val="24"/>
          <w:highlight w:val="none"/>
        </w:rPr>
      </w:r>
      <w:r/>
    </w:p>
    <w:p>
      <w:pPr>
        <w:pStyle w:val="1131"/>
        <w:ind w:left="44" w:right="29" w:firstLine="483"/>
        <w:spacing w:before="1" w:line="360" w:lineRule="auto"/>
        <w:rPr>
          <w:rFonts w:hint="eastAsia" w:ascii="宋体" w:hAnsi="宋体" w:cs="宋体"/>
          <w:color w:val="000000"/>
          <w:sz w:val="24"/>
          <w:szCs w:val="24"/>
          <w:highlight w:val="none"/>
        </w:rPr>
      </w:pPr>
      <w:r>
        <w:rPr>
          <w:rFonts w:hint="eastAsia" w:ascii="宋体" w:hAnsi="宋体" w:cs="宋体"/>
          <w:color w:val="000000"/>
          <w:spacing w:val="-9"/>
          <w:sz w:val="24"/>
          <w:szCs w:val="24"/>
          <w:highlight w:val="none"/>
        </w:rPr>
        <w:t xml:space="preserve">12.3甲方未办理任何手续，擅自同意拆改原有建筑物或设备管线，由此发生的损失</w:t>
      </w:r>
      <w:r>
        <w:rPr>
          <w:rFonts w:hint="eastAsia" w:ascii="宋体" w:hAnsi="宋体" w:cs="宋体"/>
          <w:color w:val="000000"/>
          <w:spacing w:val="-3"/>
          <w:sz w:val="24"/>
          <w:szCs w:val="24"/>
          <w:highlight w:val="none"/>
        </w:rPr>
        <w:t xml:space="preserve">或</w:t>
      </w:r>
      <w:r>
        <w:rPr>
          <w:rFonts w:hint="eastAsia" w:ascii="宋体" w:hAnsi="宋体" w:cs="宋体"/>
          <w:color w:val="000000"/>
          <w:spacing w:val="6"/>
          <w:sz w:val="24"/>
          <w:szCs w:val="24"/>
          <w:highlight w:val="none"/>
        </w:rPr>
        <w:t xml:space="preserve">事故(</w:t>
      </w:r>
      <w:r>
        <w:rPr>
          <w:rFonts w:hint="eastAsia" w:ascii="宋体" w:hAnsi="宋体" w:cs="宋体"/>
          <w:color w:val="000000"/>
          <w:spacing w:val="5"/>
          <w:sz w:val="24"/>
          <w:szCs w:val="24"/>
          <w:highlight w:val="none"/>
        </w:rPr>
        <w:t xml:space="preserve">包</w:t>
      </w:r>
      <w:r>
        <w:rPr>
          <w:rFonts w:hint="eastAsia" w:ascii="宋体" w:hAnsi="宋体" w:cs="宋体"/>
          <w:color w:val="000000"/>
          <w:spacing w:val="3"/>
          <w:sz w:val="24"/>
          <w:szCs w:val="24"/>
          <w:highlight w:val="none"/>
        </w:rPr>
        <w:t xml:space="preserve">括罚款)，由甲方负责并承担损失。</w:t>
      </w:r>
      <w:r>
        <w:rPr>
          <w:rFonts w:hint="eastAsia" w:ascii="宋体" w:hAnsi="宋体" w:cs="宋体"/>
          <w:color w:val="000000"/>
          <w:sz w:val="24"/>
          <w:szCs w:val="24"/>
          <w:highlight w:val="none"/>
        </w:rPr>
      </w:r>
      <w:r/>
    </w:p>
    <w:p>
      <w:pPr>
        <w:pStyle w:val="1131"/>
        <w:ind w:left="52" w:right="30" w:firstLine="476"/>
        <w:spacing w:line="360" w:lineRule="auto"/>
        <w:rPr>
          <w:rFonts w:hint="eastAsia" w:ascii="宋体" w:hAnsi="宋体" w:cs="宋体"/>
          <w:color w:val="000000"/>
          <w:sz w:val="24"/>
          <w:szCs w:val="24"/>
          <w:highlight w:val="none"/>
        </w:rPr>
      </w:pPr>
      <w:r>
        <w:rPr>
          <w:rFonts w:hint="eastAsia" w:ascii="宋体" w:hAnsi="宋体" w:cs="宋体"/>
          <w:color w:val="000000"/>
          <w:spacing w:val="-9"/>
          <w:sz w:val="24"/>
          <w:szCs w:val="24"/>
          <w:highlight w:val="none"/>
        </w:rPr>
        <w:t xml:space="preserve">12.4未经甲方同意，乙方擅自拆改原建筑物结构或设备管线，由此发生的损失或事</w:t>
      </w:r>
      <w:r>
        <w:rPr>
          <w:rFonts w:hint="eastAsia" w:ascii="宋体" w:hAnsi="宋体" w:cs="宋体"/>
          <w:color w:val="000000"/>
          <w:spacing w:val="-4"/>
          <w:sz w:val="24"/>
          <w:szCs w:val="24"/>
          <w:highlight w:val="none"/>
        </w:rPr>
        <w:t xml:space="preserve">故</w:t>
      </w:r>
      <w:r>
        <w:rPr>
          <w:rFonts w:hint="eastAsia" w:ascii="宋体" w:hAnsi="宋体" w:cs="宋体"/>
          <w:color w:val="000000"/>
          <w:spacing w:val="6"/>
          <w:sz w:val="24"/>
          <w:szCs w:val="24"/>
          <w:highlight w:val="none"/>
        </w:rPr>
        <w:t xml:space="preserve">(包括</w:t>
      </w:r>
      <w:r>
        <w:rPr>
          <w:rFonts w:hint="eastAsia" w:ascii="宋体" w:hAnsi="宋体" w:cs="宋体"/>
          <w:color w:val="000000"/>
          <w:spacing w:val="4"/>
          <w:sz w:val="24"/>
          <w:szCs w:val="24"/>
          <w:highlight w:val="none"/>
        </w:rPr>
        <w:t xml:space="preserve">罚</w:t>
      </w:r>
      <w:r>
        <w:rPr>
          <w:rFonts w:hint="eastAsia" w:ascii="宋体" w:hAnsi="宋体" w:cs="宋体"/>
          <w:color w:val="000000"/>
          <w:spacing w:val="3"/>
          <w:sz w:val="24"/>
          <w:szCs w:val="24"/>
          <w:highlight w:val="none"/>
        </w:rPr>
        <w:t xml:space="preserve">款)，由乙方负责并承担损失。</w:t>
      </w:r>
      <w:r>
        <w:rPr>
          <w:rFonts w:hint="eastAsia" w:ascii="宋体" w:hAnsi="宋体" w:cs="宋体"/>
          <w:color w:val="000000"/>
          <w:sz w:val="24"/>
          <w:szCs w:val="24"/>
          <w:highlight w:val="none"/>
        </w:rPr>
      </w:r>
      <w:r/>
    </w:p>
    <w:p>
      <w:pPr>
        <w:pStyle w:val="1131"/>
        <w:ind w:left="52" w:right="30" w:firstLine="476"/>
        <w:spacing w:line="360" w:lineRule="auto"/>
        <w:rPr>
          <w:rFonts w:hint="eastAsia" w:ascii="宋体" w:hAnsi="宋体" w:cs="宋体"/>
          <w:color w:val="000000"/>
          <w:spacing w:val="-9"/>
          <w:sz w:val="24"/>
          <w:szCs w:val="24"/>
          <w:highlight w:val="none"/>
        </w:rPr>
      </w:pPr>
      <w:r>
        <w:rPr>
          <w:rFonts w:hint="eastAsia" w:ascii="宋体" w:hAnsi="宋体" w:cs="宋体"/>
          <w:color w:val="000000"/>
          <w:spacing w:val="-9"/>
          <w:sz w:val="24"/>
          <w:szCs w:val="24"/>
          <w:highlight w:val="none"/>
        </w:rPr>
        <w:t xml:space="preserve">12.5未办理验收手续，甲方提前使用或擅自动用造成损失由甲方负责。</w:t>
      </w:r>
      <w:r>
        <w:rPr>
          <w:rFonts w:hint="eastAsia" w:ascii="宋体" w:hAnsi="宋体" w:cs="宋体"/>
          <w:color w:val="000000"/>
          <w:spacing w:val="-9"/>
          <w:sz w:val="24"/>
          <w:szCs w:val="24"/>
          <w:highlight w:val="none"/>
        </w:rPr>
      </w:r>
      <w:r/>
    </w:p>
    <w:p>
      <w:pPr>
        <w:pStyle w:val="1131"/>
        <w:ind w:left="52" w:right="30" w:firstLine="476"/>
        <w:spacing w:line="360" w:lineRule="auto"/>
        <w:rPr>
          <w:rFonts w:hint="eastAsia" w:ascii="宋体" w:hAnsi="宋体" w:cs="宋体"/>
          <w:color w:val="000000"/>
          <w:spacing w:val="-9"/>
          <w:sz w:val="24"/>
          <w:szCs w:val="24"/>
          <w:highlight w:val="none"/>
        </w:rPr>
      </w:pPr>
      <w:r>
        <w:rPr>
          <w:rFonts w:hint="eastAsia" w:ascii="宋体" w:hAnsi="宋体" w:cs="宋体"/>
          <w:color w:val="000000"/>
          <w:spacing w:val="-9"/>
          <w:sz w:val="24"/>
          <w:szCs w:val="24"/>
          <w:highlight w:val="none"/>
        </w:rPr>
        <w:t xml:space="preserve">12.6因一方原因，合同无法继续履行时，应通知对方，办理合同终止协议，并由责任方赔偿对方由此造成的经济损失。</w:t>
      </w:r>
      <w:r>
        <w:rPr>
          <w:rFonts w:hint="eastAsia" w:ascii="宋体" w:hAnsi="宋体" w:cs="宋体"/>
          <w:color w:val="000000"/>
          <w:spacing w:val="-9"/>
          <w:sz w:val="24"/>
          <w:szCs w:val="24"/>
          <w:highlight w:val="none"/>
        </w:rPr>
      </w:r>
      <w:r/>
    </w:p>
    <w:p>
      <w:pPr>
        <w:pStyle w:val="1131"/>
        <w:ind w:left="52" w:right="30" w:firstLine="476"/>
        <w:spacing w:line="360" w:lineRule="auto"/>
        <w:rPr>
          <w:rFonts w:hint="eastAsia" w:ascii="宋体" w:hAnsi="宋体" w:cs="宋体"/>
          <w:color w:val="000000"/>
          <w:spacing w:val="-9"/>
          <w:sz w:val="24"/>
          <w:szCs w:val="24"/>
          <w:highlight w:val="none"/>
        </w:rPr>
      </w:pPr>
      <w:r>
        <w:rPr>
          <w:rFonts w:hint="eastAsia" w:ascii="宋体" w:hAnsi="宋体" w:cs="宋体"/>
          <w:color w:val="000000"/>
          <w:spacing w:val="-9"/>
          <w:sz w:val="24"/>
          <w:szCs w:val="24"/>
          <w:highlight w:val="none"/>
        </w:rPr>
        <w:t xml:space="preserve">12.7 甲乙双方应严格履约，如违约，由违约方承付本合同标的总价 5﹪的违约金给受损方，并赔偿受损方由此造成的一切经济损失。</w:t>
      </w:r>
      <w:r>
        <w:rPr>
          <w:rFonts w:hint="eastAsia" w:ascii="宋体" w:hAnsi="宋体" w:cs="宋体"/>
          <w:color w:val="000000"/>
          <w:spacing w:val="-9"/>
          <w:sz w:val="24"/>
          <w:szCs w:val="24"/>
          <w:highlight w:val="none"/>
        </w:rPr>
      </w:r>
      <w:r/>
    </w:p>
    <w:p>
      <w:pPr>
        <w:pStyle w:val="1131"/>
        <w:ind w:left="56"/>
        <w:spacing w:before="34" w:line="360" w:lineRule="auto"/>
        <w:rPr>
          <w:rFonts w:hint="eastAsia" w:ascii="宋体" w:hAnsi="宋体" w:cs="宋体"/>
          <w:color w:val="000000"/>
          <w:sz w:val="24"/>
          <w:szCs w:val="24"/>
          <w:highlight w:val="none"/>
        </w:rPr>
      </w:pPr>
      <w:r/>
      <w:bookmarkStart w:id="136" w:name="_bookmark84"/>
      <w:r/>
      <w:bookmarkEnd w:id="136"/>
      <w:r>
        <w:rPr>
          <w:rFonts w:hint="eastAsia" w:ascii="宋体" w:hAnsi="宋体" w:cs="宋体"/>
          <w:color w:val="000000"/>
          <w:spacing w:val="-3"/>
          <w:sz w:val="24"/>
          <w:szCs w:val="24"/>
          <w:highlight w:val="none"/>
        </w:rPr>
        <w:t xml:space="preserve">13、不可抗力</w:t>
      </w:r>
      <w:r>
        <w:rPr>
          <w:rFonts w:hint="eastAsia" w:ascii="宋体" w:hAnsi="宋体" w:cs="宋体"/>
          <w:color w:val="000000"/>
          <w:sz w:val="24"/>
          <w:szCs w:val="24"/>
          <w:highlight w:val="none"/>
        </w:rPr>
      </w:r>
      <w:r/>
    </w:p>
    <w:p>
      <w:pPr>
        <w:pStyle w:val="1131"/>
        <w:ind w:left="52" w:right="30" w:firstLine="476"/>
        <w:spacing w:line="360" w:lineRule="auto"/>
        <w:rPr>
          <w:rFonts w:hint="eastAsia" w:ascii="宋体" w:hAnsi="宋体" w:cs="宋体"/>
          <w:color w:val="000000"/>
          <w:spacing w:val="-9"/>
          <w:sz w:val="24"/>
          <w:szCs w:val="24"/>
          <w:highlight w:val="none"/>
        </w:rPr>
      </w:pPr>
      <w:r>
        <w:rPr>
          <w:rFonts w:hint="eastAsia" w:ascii="宋体" w:hAnsi="宋体" w:cs="宋体"/>
          <w:color w:val="000000"/>
          <w:spacing w:val="-9"/>
          <w:sz w:val="24"/>
          <w:szCs w:val="24"/>
          <w:highlight w:val="none"/>
        </w:rPr>
        <w:t xml:space="preserve">13.1 在执行合同期限内，任何一方因不可抗力事件造成不能履行合同时，应立即通知对方，并寄送有关权威机构出具的证明，则合同履行期可延长，延长期与不可抗力影响期 相同。出现上述情况不受合同有关逾期责任制约；</w:t>
      </w:r>
      <w:r>
        <w:rPr>
          <w:rFonts w:hint="eastAsia" w:ascii="宋体" w:hAnsi="宋体" w:cs="宋体"/>
          <w:color w:val="000000"/>
          <w:spacing w:val="-9"/>
          <w:sz w:val="24"/>
          <w:szCs w:val="24"/>
          <w:highlight w:val="none"/>
        </w:rPr>
      </w:r>
      <w:r/>
    </w:p>
    <w:p>
      <w:pPr>
        <w:pStyle w:val="1131"/>
        <w:ind w:left="52" w:right="30" w:firstLine="476"/>
        <w:spacing w:line="360" w:lineRule="auto"/>
        <w:rPr>
          <w:rFonts w:hint="eastAsia" w:ascii="宋体" w:hAnsi="宋体" w:cs="宋体"/>
          <w:color w:val="000000"/>
          <w:spacing w:val="-9"/>
          <w:sz w:val="24"/>
          <w:szCs w:val="24"/>
          <w:highlight w:val="none"/>
        </w:rPr>
      </w:pPr>
      <w:r>
        <w:rPr>
          <w:rFonts w:hint="eastAsia" w:ascii="宋体" w:hAnsi="宋体" w:cs="宋体"/>
          <w:color w:val="000000"/>
          <w:spacing w:val="-9"/>
          <w:sz w:val="24"/>
          <w:szCs w:val="24"/>
          <w:highlight w:val="none"/>
        </w:rPr>
        <w:t xml:space="preserve">13.2 不可抗力影响时间持续 30 日以上时，甲乙双方及时解除合同；13.3 本条所述“不可抗力”是指不可预见、不能克服及不能避免的事件，包括战争、严重火灾、洪水、地震等。</w:t>
      </w:r>
      <w:r>
        <w:rPr>
          <w:rFonts w:hint="eastAsia" w:ascii="宋体" w:hAnsi="宋体" w:cs="宋体"/>
          <w:color w:val="000000"/>
          <w:spacing w:val="-9"/>
          <w:sz w:val="24"/>
          <w:szCs w:val="24"/>
          <w:highlight w:val="none"/>
        </w:rPr>
      </w:r>
      <w:r/>
    </w:p>
    <w:p>
      <w:pPr>
        <w:pStyle w:val="1131"/>
        <w:ind w:left="56"/>
        <w:spacing w:before="107" w:line="360" w:lineRule="auto"/>
        <w:rPr>
          <w:rFonts w:hint="eastAsia" w:ascii="宋体" w:hAnsi="宋体" w:cs="宋体"/>
          <w:color w:val="000000"/>
          <w:sz w:val="24"/>
          <w:szCs w:val="24"/>
          <w:highlight w:val="none"/>
        </w:rPr>
      </w:pPr>
      <w:r/>
      <w:bookmarkStart w:id="137" w:name="_bookmark85"/>
      <w:r/>
      <w:bookmarkEnd w:id="137"/>
      <w:r>
        <w:rPr>
          <w:rFonts w:hint="eastAsia" w:ascii="宋体" w:hAnsi="宋体" w:cs="宋体"/>
          <w:color w:val="000000"/>
          <w:spacing w:val="-3"/>
          <w:sz w:val="24"/>
          <w:szCs w:val="24"/>
          <w:highlight w:val="none"/>
        </w:rPr>
        <w:t xml:space="preserve">1</w:t>
      </w:r>
      <w:r>
        <w:rPr>
          <w:rFonts w:hint="eastAsia" w:ascii="宋体" w:hAnsi="宋体" w:cs="宋体"/>
          <w:color w:val="000000"/>
          <w:spacing w:val="-2"/>
          <w:sz w:val="24"/>
          <w:szCs w:val="24"/>
          <w:highlight w:val="none"/>
        </w:rPr>
        <w:t xml:space="preserve">4、纠纷解决办法</w:t>
      </w:r>
      <w:r>
        <w:rPr>
          <w:rFonts w:hint="eastAsia" w:ascii="宋体" w:hAnsi="宋体" w:cs="宋体"/>
          <w:color w:val="000000"/>
          <w:sz w:val="24"/>
          <w:szCs w:val="24"/>
          <w:highlight w:val="none"/>
        </w:rPr>
      </w:r>
      <w:r/>
    </w:p>
    <w:p>
      <w:pPr>
        <w:pStyle w:val="1131"/>
        <w:ind w:left="52" w:right="30" w:firstLine="476"/>
        <w:spacing w:line="360" w:lineRule="auto"/>
        <w:rPr>
          <w:rFonts w:hint="eastAsia" w:ascii="宋体" w:hAnsi="宋体" w:cs="宋体"/>
          <w:color w:val="000000"/>
          <w:spacing w:val="-9"/>
          <w:sz w:val="24"/>
          <w:szCs w:val="24"/>
          <w:highlight w:val="none"/>
        </w:rPr>
      </w:pPr>
      <w:r>
        <w:rPr>
          <w:rFonts w:hint="eastAsia" w:ascii="宋体" w:hAnsi="宋体" w:cs="宋体"/>
          <w:color w:val="000000"/>
          <w:spacing w:val="-9"/>
          <w:sz w:val="24"/>
          <w:szCs w:val="24"/>
          <w:highlight w:val="none"/>
        </w:rPr>
        <w:t xml:space="preserve">14.1 在执行本合同中所发生的或与本合同有关的一切争端，甲方和乙方应通过友好协 商的办法进行解决。如协商仍不能解决，则通过由甲方所在地人民法院诉讼。</w:t>
      </w:r>
      <w:r>
        <w:rPr>
          <w:rFonts w:hint="eastAsia" w:ascii="宋体" w:hAnsi="宋体" w:cs="宋体"/>
          <w:color w:val="000000"/>
          <w:spacing w:val="-9"/>
          <w:sz w:val="24"/>
          <w:szCs w:val="24"/>
          <w:highlight w:val="none"/>
        </w:rPr>
      </w:r>
      <w:r/>
    </w:p>
    <w:p>
      <w:pPr>
        <w:pStyle w:val="1131"/>
        <w:ind w:left="52" w:right="30" w:firstLine="476"/>
        <w:spacing w:line="360" w:lineRule="auto"/>
        <w:rPr>
          <w:rFonts w:hint="eastAsia" w:ascii="宋体" w:hAnsi="宋体" w:cs="宋体"/>
          <w:color w:val="000000"/>
          <w:spacing w:val="-9"/>
          <w:sz w:val="24"/>
          <w:szCs w:val="24"/>
          <w:highlight w:val="none"/>
        </w:rPr>
        <w:sectPr>
          <w:footnotePr/>
          <w:endnotePr/>
          <w:type w:val="nextPage"/>
          <w:pgSz w:w="11907" w:h="16839" w:orient="portrait"/>
          <w:pgMar w:top="1125" w:right="1238" w:bottom="1392" w:left="1240" w:header="709" w:footer="709" w:gutter="0"/>
          <w:cols w:num="1" w:sep="0" w:space="1701" w:equalWidth="1"/>
          <w:docGrid w:linePitch="360"/>
        </w:sectPr>
      </w:pPr>
      <w:r>
        <w:rPr>
          <w:rFonts w:hint="eastAsia" w:ascii="宋体" w:hAnsi="宋体" w:cs="宋体"/>
          <w:color w:val="000000"/>
          <w:spacing w:val="-9"/>
          <w:sz w:val="24"/>
          <w:szCs w:val="24"/>
          <w:highlight w:val="none"/>
        </w:rPr>
      </w:r>
      <w:r/>
    </w:p>
    <w:p>
      <w:pPr>
        <w:pStyle w:val="1131"/>
        <w:ind w:left="52" w:right="30" w:firstLine="476"/>
        <w:spacing w:line="360" w:lineRule="auto"/>
        <w:rPr>
          <w:rFonts w:hint="eastAsia" w:ascii="宋体" w:hAnsi="宋体" w:cs="宋体"/>
          <w:color w:val="000000"/>
          <w:spacing w:val="-9"/>
          <w:sz w:val="24"/>
          <w:szCs w:val="24"/>
          <w:highlight w:val="none"/>
        </w:rPr>
      </w:pPr>
      <w:r>
        <w:rPr>
          <w:rFonts w:hint="eastAsia" w:ascii="宋体" w:hAnsi="宋体" w:cs="宋体"/>
          <w:color w:val="000000"/>
          <w:spacing w:val="-9"/>
          <w:sz w:val="24"/>
          <w:szCs w:val="24"/>
          <w:highlight w:val="none"/>
        </w:rPr>
        <w:t xml:space="preserve">14.2 在诉讼期间，本合同应继续执行。</w:t>
      </w:r>
      <w:r>
        <w:rPr>
          <w:rFonts w:hint="eastAsia" w:ascii="宋体" w:hAnsi="宋体" w:cs="宋体"/>
          <w:color w:val="000000"/>
          <w:spacing w:val="-9"/>
          <w:sz w:val="24"/>
          <w:szCs w:val="24"/>
          <w:highlight w:val="none"/>
        </w:rPr>
      </w:r>
      <w:r/>
    </w:p>
    <w:p>
      <w:pPr>
        <w:pStyle w:val="1131"/>
        <w:ind w:left="56"/>
        <w:spacing w:before="240" w:line="360" w:lineRule="auto"/>
        <w:rPr>
          <w:rFonts w:hint="eastAsia" w:ascii="宋体" w:hAnsi="宋体" w:cs="宋体"/>
          <w:color w:val="000000"/>
          <w:sz w:val="24"/>
          <w:szCs w:val="24"/>
          <w:highlight w:val="none"/>
        </w:rPr>
      </w:pPr>
      <w:r/>
      <w:bookmarkStart w:id="138" w:name="_bookmark86"/>
      <w:r/>
      <w:bookmarkEnd w:id="138"/>
      <w:r>
        <w:rPr>
          <w:rFonts w:hint="eastAsia" w:ascii="宋体" w:hAnsi="宋体" w:cs="宋体"/>
          <w:color w:val="000000"/>
          <w:spacing w:val="-3"/>
          <w:sz w:val="24"/>
          <w:szCs w:val="24"/>
          <w:highlight w:val="none"/>
        </w:rPr>
        <w:t xml:space="preserve">1</w:t>
      </w:r>
      <w:r>
        <w:rPr>
          <w:rFonts w:hint="eastAsia" w:ascii="宋体" w:hAnsi="宋体" w:cs="宋体"/>
          <w:color w:val="000000"/>
          <w:spacing w:val="-2"/>
          <w:sz w:val="24"/>
          <w:szCs w:val="24"/>
          <w:highlight w:val="none"/>
        </w:rPr>
        <w:t xml:space="preserve">5、破产终止合同</w:t>
      </w:r>
      <w:r>
        <w:rPr>
          <w:rFonts w:hint="eastAsia" w:ascii="宋体" w:hAnsi="宋体" w:cs="宋体"/>
          <w:color w:val="000000"/>
          <w:sz w:val="24"/>
          <w:szCs w:val="24"/>
          <w:highlight w:val="none"/>
        </w:rPr>
      </w:r>
      <w:r/>
    </w:p>
    <w:p>
      <w:pPr>
        <w:pStyle w:val="1131"/>
        <w:ind w:left="52" w:right="30" w:firstLine="476"/>
        <w:spacing w:line="360" w:lineRule="auto"/>
        <w:rPr>
          <w:rFonts w:hint="eastAsia" w:ascii="宋体" w:hAnsi="宋体" w:cs="宋体"/>
          <w:color w:val="000000"/>
          <w:spacing w:val="-9"/>
          <w:sz w:val="24"/>
          <w:szCs w:val="24"/>
          <w:highlight w:val="none"/>
        </w:rPr>
      </w:pPr>
      <w:r>
        <w:rPr>
          <w:rFonts w:hint="eastAsia" w:ascii="宋体" w:hAnsi="宋体" w:cs="宋体"/>
          <w:color w:val="000000"/>
          <w:spacing w:val="-9"/>
          <w:sz w:val="24"/>
          <w:szCs w:val="24"/>
          <w:highlight w:val="none"/>
        </w:rPr>
        <w:t xml:space="preserve">15.1如果乙方破产或无清偿能力时，甲方有权在任何时候书面通知乙方终止合同而不给乙方补偿。该终止合同将不损害或影响甲方已经或将要采取的补救措施的权利。</w:t>
      </w:r>
      <w:r>
        <w:rPr>
          <w:rFonts w:hint="eastAsia" w:ascii="宋体" w:hAnsi="宋体" w:cs="宋体"/>
          <w:color w:val="000000"/>
          <w:spacing w:val="-9"/>
          <w:sz w:val="24"/>
          <w:szCs w:val="24"/>
          <w:highlight w:val="none"/>
        </w:rPr>
      </w:r>
      <w:r/>
    </w:p>
    <w:p>
      <w:pPr>
        <w:pStyle w:val="1131"/>
        <w:ind w:left="56"/>
        <w:spacing w:before="30" w:line="360" w:lineRule="auto"/>
        <w:rPr>
          <w:rFonts w:hint="eastAsia" w:ascii="宋体" w:hAnsi="宋体" w:cs="宋体"/>
          <w:color w:val="000000"/>
          <w:sz w:val="24"/>
          <w:szCs w:val="24"/>
          <w:highlight w:val="none"/>
        </w:rPr>
      </w:pPr>
      <w:r/>
      <w:bookmarkStart w:id="139" w:name="_bookmark87"/>
      <w:r/>
      <w:bookmarkEnd w:id="139"/>
      <w:r>
        <w:rPr>
          <w:rFonts w:hint="eastAsia" w:ascii="宋体" w:hAnsi="宋体" w:cs="宋体"/>
          <w:color w:val="000000"/>
          <w:spacing w:val="-4"/>
          <w:sz w:val="24"/>
          <w:szCs w:val="24"/>
          <w:highlight w:val="none"/>
        </w:rPr>
        <w:t xml:space="preserve">1</w:t>
      </w:r>
      <w:r>
        <w:rPr>
          <w:rFonts w:hint="eastAsia" w:ascii="宋体" w:hAnsi="宋体" w:cs="宋体"/>
          <w:color w:val="000000"/>
          <w:spacing w:val="-3"/>
          <w:sz w:val="24"/>
          <w:szCs w:val="24"/>
          <w:highlight w:val="none"/>
        </w:rPr>
        <w:t xml:space="preserve">6</w:t>
      </w:r>
      <w:r>
        <w:rPr>
          <w:rFonts w:hint="eastAsia" w:ascii="宋体" w:hAnsi="宋体" w:cs="宋体"/>
          <w:color w:val="000000"/>
          <w:spacing w:val="-2"/>
          <w:sz w:val="24"/>
          <w:szCs w:val="24"/>
          <w:highlight w:val="none"/>
        </w:rPr>
        <w:t xml:space="preserve">、分包和转让</w:t>
      </w:r>
      <w:r>
        <w:rPr>
          <w:rFonts w:hint="eastAsia" w:ascii="宋体" w:hAnsi="宋体" w:cs="宋体"/>
          <w:color w:val="000000"/>
          <w:sz w:val="24"/>
          <w:szCs w:val="24"/>
          <w:highlight w:val="none"/>
        </w:rPr>
      </w:r>
      <w:r/>
    </w:p>
    <w:p>
      <w:pPr>
        <w:pStyle w:val="1131"/>
        <w:ind w:left="52" w:right="30" w:firstLine="476"/>
        <w:spacing w:line="360" w:lineRule="auto"/>
        <w:rPr>
          <w:rFonts w:hint="eastAsia" w:ascii="宋体" w:hAnsi="宋体" w:cs="宋体"/>
          <w:color w:val="000000"/>
          <w:spacing w:val="-9"/>
          <w:sz w:val="24"/>
          <w:szCs w:val="24"/>
          <w:highlight w:val="none"/>
        </w:rPr>
      </w:pPr>
      <w:r>
        <w:rPr>
          <w:rFonts w:hint="eastAsia" w:ascii="宋体" w:hAnsi="宋体" w:cs="宋体"/>
          <w:color w:val="000000"/>
          <w:spacing w:val="-9"/>
          <w:sz w:val="24"/>
          <w:szCs w:val="24"/>
          <w:highlight w:val="none"/>
        </w:rPr>
        <w:t xml:space="preserve">16.1 本合同不得转让。</w:t>
      </w:r>
      <w:r>
        <w:rPr>
          <w:rFonts w:hint="eastAsia" w:ascii="宋体" w:hAnsi="宋体" w:cs="宋体"/>
          <w:color w:val="000000"/>
          <w:spacing w:val="-9"/>
          <w:sz w:val="24"/>
          <w:szCs w:val="24"/>
          <w:highlight w:val="none"/>
        </w:rPr>
      </w:r>
      <w:r/>
    </w:p>
    <w:p>
      <w:pPr>
        <w:pStyle w:val="1131"/>
        <w:ind w:left="52" w:right="30" w:firstLine="476"/>
        <w:spacing w:line="360" w:lineRule="auto"/>
        <w:rPr>
          <w:rFonts w:hint="eastAsia" w:ascii="宋体" w:hAnsi="宋体" w:cs="宋体"/>
          <w:color w:val="000000"/>
          <w:spacing w:val="-9"/>
          <w:sz w:val="24"/>
          <w:szCs w:val="24"/>
          <w:highlight w:val="none"/>
        </w:rPr>
      </w:pPr>
      <w:r>
        <w:rPr>
          <w:rFonts w:hint="eastAsia" w:ascii="宋体" w:hAnsi="宋体" w:cs="宋体"/>
          <w:color w:val="000000"/>
          <w:spacing w:val="-9"/>
          <w:sz w:val="24"/>
          <w:szCs w:val="24"/>
          <w:highlight w:val="none"/>
        </w:rPr>
        <w:t xml:space="preserve">16.2 经甲方书面同意，乙方可以将合同项下非主体性工作分包给他人完成。接受分包</w:t>
      </w:r>
      <w:r>
        <w:rPr>
          <w:rFonts w:hint="eastAsia" w:ascii="宋体" w:hAnsi="宋体" w:cs="宋体"/>
          <w:color w:val="000000"/>
          <w:spacing w:val="-9"/>
          <w:sz w:val="24"/>
          <w:szCs w:val="24"/>
          <w:highlight w:val="none"/>
        </w:rPr>
      </w:r>
      <w:r/>
    </w:p>
    <w:p>
      <w:pPr>
        <w:pStyle w:val="1131"/>
        <w:ind w:left="52" w:right="30" w:firstLine="476"/>
        <w:spacing w:line="360" w:lineRule="auto"/>
        <w:rPr>
          <w:rFonts w:hint="eastAsia" w:ascii="宋体" w:hAnsi="宋体" w:cs="宋体"/>
          <w:color w:val="000000"/>
          <w:spacing w:val="-9"/>
          <w:sz w:val="24"/>
          <w:szCs w:val="24"/>
          <w:highlight w:val="none"/>
        </w:rPr>
      </w:pPr>
      <w:r>
        <w:rPr>
          <w:rFonts w:hint="eastAsia" w:ascii="宋体" w:hAnsi="宋体" w:cs="宋体"/>
          <w:color w:val="000000"/>
          <w:spacing w:val="-9"/>
          <w:sz w:val="24"/>
          <w:szCs w:val="24"/>
          <w:highlight w:val="none"/>
        </w:rPr>
        <w:t xml:space="preserve">的人应当具备相应的资质条件，并不得再次分包。分包后不能解除乙方履行本合同的责任 和义务，接受分包的人与乙方共同对甲方连带承担合同的责任和义务。</w:t>
      </w:r>
      <w:r>
        <w:rPr>
          <w:rFonts w:hint="eastAsia" w:ascii="宋体" w:hAnsi="宋体" w:cs="宋体"/>
          <w:color w:val="000000"/>
          <w:spacing w:val="-9"/>
          <w:sz w:val="24"/>
          <w:szCs w:val="24"/>
          <w:highlight w:val="none"/>
        </w:rPr>
      </w:r>
      <w:r/>
    </w:p>
    <w:p>
      <w:pPr>
        <w:pStyle w:val="1131"/>
        <w:ind w:left="56"/>
        <w:spacing w:before="33" w:line="360" w:lineRule="auto"/>
        <w:rPr>
          <w:rFonts w:hint="eastAsia" w:ascii="宋体" w:hAnsi="宋体" w:cs="宋体"/>
          <w:color w:val="000000"/>
          <w:sz w:val="24"/>
          <w:szCs w:val="24"/>
          <w:highlight w:val="none"/>
        </w:rPr>
      </w:pPr>
      <w:r/>
      <w:bookmarkStart w:id="140" w:name="_bookmark88"/>
      <w:r/>
      <w:bookmarkEnd w:id="140"/>
      <w:r>
        <w:rPr>
          <w:rFonts w:hint="eastAsia" w:ascii="宋体" w:hAnsi="宋体" w:cs="宋体"/>
          <w:color w:val="000000"/>
          <w:spacing w:val="-2"/>
          <w:sz w:val="24"/>
          <w:szCs w:val="24"/>
          <w:highlight w:val="none"/>
        </w:rPr>
        <w:t xml:space="preserve">17、合同生效及其</w:t>
      </w:r>
      <w:r>
        <w:rPr>
          <w:rFonts w:hint="eastAsia" w:ascii="宋体" w:hAnsi="宋体" w:cs="宋体"/>
          <w:color w:val="000000"/>
          <w:spacing w:val="-1"/>
          <w:sz w:val="24"/>
          <w:szCs w:val="24"/>
          <w:highlight w:val="none"/>
        </w:rPr>
        <w:t xml:space="preserve">它</w:t>
      </w:r>
      <w:r>
        <w:rPr>
          <w:rFonts w:hint="eastAsia" w:ascii="宋体" w:hAnsi="宋体" w:cs="宋体"/>
          <w:color w:val="000000"/>
          <w:sz w:val="24"/>
          <w:szCs w:val="24"/>
          <w:highlight w:val="none"/>
        </w:rPr>
      </w:r>
      <w:r/>
    </w:p>
    <w:p>
      <w:pPr>
        <w:pStyle w:val="1131"/>
        <w:ind w:left="52" w:right="30" w:firstLine="476"/>
        <w:spacing w:line="360" w:lineRule="auto"/>
        <w:rPr>
          <w:rFonts w:hint="eastAsia" w:ascii="宋体" w:hAnsi="宋体" w:cs="宋体"/>
          <w:color w:val="000000"/>
          <w:spacing w:val="-9"/>
          <w:sz w:val="24"/>
          <w:szCs w:val="24"/>
          <w:highlight w:val="none"/>
        </w:rPr>
      </w:pPr>
      <w:r>
        <w:rPr>
          <w:rFonts w:hint="eastAsia" w:ascii="宋体" w:hAnsi="宋体" w:cs="宋体"/>
          <w:color w:val="000000"/>
          <w:spacing w:val="-9"/>
          <w:sz w:val="24"/>
          <w:szCs w:val="24"/>
          <w:highlight w:val="none"/>
        </w:rPr>
        <w:t xml:space="preserve">17.1 合同应在甲方、乙方签字，并在乙方向见证方交纳履约保证金后生效。</w:t>
      </w:r>
      <w:r>
        <w:rPr>
          <w:rFonts w:hint="eastAsia" w:ascii="宋体" w:hAnsi="宋体" w:cs="宋体"/>
          <w:color w:val="000000"/>
          <w:spacing w:val="-9"/>
          <w:sz w:val="24"/>
          <w:szCs w:val="24"/>
          <w:highlight w:val="none"/>
        </w:rPr>
      </w:r>
      <w:r/>
    </w:p>
    <w:p>
      <w:pPr>
        <w:pStyle w:val="1131"/>
        <w:ind w:left="52" w:right="30" w:firstLine="476"/>
        <w:spacing w:line="360" w:lineRule="auto"/>
        <w:rPr>
          <w:rFonts w:hint="eastAsia" w:ascii="宋体" w:hAnsi="宋体" w:cs="宋体"/>
          <w:color w:val="000000"/>
          <w:spacing w:val="-9"/>
          <w:sz w:val="24"/>
          <w:szCs w:val="24"/>
          <w:highlight w:val="none"/>
        </w:rPr>
      </w:pPr>
      <w:r>
        <w:rPr>
          <w:rFonts w:hint="eastAsia" w:ascii="宋体" w:hAnsi="宋体" w:cs="宋体"/>
          <w:color w:val="000000"/>
          <w:spacing w:val="-9"/>
          <w:sz w:val="24"/>
          <w:szCs w:val="24"/>
          <w:highlight w:val="none"/>
        </w:rPr>
        <w:t xml:space="preserve">17.2 本合同一式肆份，以中文书写，由甲方贰份、乙方贰份。</w:t>
      </w:r>
      <w:r>
        <w:rPr>
          <w:rFonts w:hint="eastAsia" w:ascii="宋体" w:hAnsi="宋体" w:cs="宋体"/>
          <w:color w:val="000000"/>
          <w:spacing w:val="-9"/>
          <w:sz w:val="24"/>
          <w:szCs w:val="24"/>
          <w:highlight w:val="none"/>
        </w:rPr>
      </w:r>
      <w:r/>
    </w:p>
    <w:p>
      <w:pPr>
        <w:pStyle w:val="1131"/>
        <w:ind w:left="52" w:right="30" w:firstLine="476"/>
        <w:spacing w:line="360" w:lineRule="auto"/>
        <w:rPr>
          <w:rFonts w:hint="eastAsia" w:ascii="宋体" w:hAnsi="宋体" w:cs="宋体"/>
          <w:color w:val="000000"/>
          <w:spacing w:val="-9"/>
          <w:sz w:val="24"/>
          <w:szCs w:val="24"/>
          <w:highlight w:val="none"/>
        </w:rPr>
      </w:pPr>
      <w:r>
        <w:rPr>
          <w:rFonts w:hint="eastAsia" w:ascii="宋体" w:hAnsi="宋体" w:cs="宋体"/>
          <w:color w:val="000000"/>
          <w:spacing w:val="-9"/>
          <w:sz w:val="24"/>
          <w:szCs w:val="24"/>
          <w:highlight w:val="none"/>
        </w:rPr>
        <w:t xml:space="preserve">17.3 本合同服务实施期间所发生的合同纠纷，甲方与乙方进行处理。</w:t>
      </w:r>
      <w:r>
        <w:rPr>
          <w:rFonts w:hint="eastAsia" w:ascii="宋体" w:hAnsi="宋体" w:cs="宋体"/>
          <w:color w:val="000000"/>
          <w:spacing w:val="-9"/>
          <w:sz w:val="24"/>
          <w:szCs w:val="24"/>
          <w:highlight w:val="none"/>
        </w:rPr>
      </w:r>
      <w:r/>
    </w:p>
    <w:p>
      <w:pPr>
        <w:pStyle w:val="1131"/>
        <w:ind w:left="52" w:right="30" w:firstLine="476"/>
        <w:spacing w:line="360" w:lineRule="auto"/>
        <w:rPr>
          <w:rFonts w:hint="eastAsia" w:ascii="宋体" w:hAnsi="宋体" w:cs="宋体"/>
          <w:color w:val="000000"/>
          <w:spacing w:val="-9"/>
          <w:sz w:val="24"/>
          <w:szCs w:val="24"/>
          <w:highlight w:val="none"/>
        </w:rPr>
      </w:pPr>
      <w:r>
        <w:rPr>
          <w:rFonts w:hint="eastAsia" w:ascii="宋体" w:hAnsi="宋体" w:cs="宋体"/>
          <w:color w:val="000000"/>
          <w:spacing w:val="-9"/>
          <w:sz w:val="24"/>
          <w:szCs w:val="24"/>
          <w:highlight w:val="none"/>
        </w:rPr>
        <w:t xml:space="preserve">17.4本合同在执行过程中，如随项目的深化，如合同内容需修改或追加补充，应经甲方、乙方协商，并签署书面修改或补充协议，提交一份给见证方备案。该协议将作为本合同不可分割的一部分。</w:t>
      </w:r>
      <w:r>
        <w:rPr>
          <w:rFonts w:hint="eastAsia" w:ascii="宋体" w:hAnsi="宋体" w:cs="宋体"/>
          <w:color w:val="000000"/>
          <w:spacing w:val="-9"/>
          <w:sz w:val="24"/>
          <w:szCs w:val="24"/>
          <w:highlight w:val="none"/>
        </w:rPr>
      </w:r>
      <w:r/>
    </w:p>
    <w:p>
      <w:pPr>
        <w:pStyle w:val="1131"/>
        <w:ind w:left="52" w:right="30" w:firstLine="476"/>
        <w:spacing w:line="360" w:lineRule="auto"/>
        <w:rPr>
          <w:rFonts w:hint="eastAsia" w:ascii="宋体" w:hAnsi="宋体" w:cs="宋体"/>
          <w:color w:val="000000"/>
          <w:spacing w:val="-9"/>
          <w:sz w:val="24"/>
          <w:szCs w:val="24"/>
          <w:highlight w:val="none"/>
        </w:rPr>
      </w:pPr>
      <w:r>
        <w:rPr>
          <w:rFonts w:hint="eastAsia" w:ascii="宋体" w:hAnsi="宋体" w:cs="宋体"/>
          <w:color w:val="000000"/>
          <w:spacing w:val="-9"/>
          <w:sz w:val="24"/>
          <w:szCs w:val="24"/>
          <w:highlight w:val="none"/>
        </w:rPr>
        <w:t xml:space="preserve">17.5 本合同应按照中华人民共和国的现行法律进行解释。</w:t>
      </w:r>
      <w:r>
        <w:rPr>
          <w:rFonts w:hint="eastAsia" w:ascii="宋体" w:hAnsi="宋体" w:cs="宋体"/>
          <w:color w:val="000000"/>
          <w:spacing w:val="-9"/>
          <w:sz w:val="24"/>
          <w:szCs w:val="24"/>
          <w:highlight w:val="none"/>
        </w:rPr>
      </w:r>
      <w:r/>
    </w:p>
    <w:p>
      <w:pPr>
        <w:pStyle w:val="1131"/>
        <w:ind w:left="70"/>
        <w:spacing w:before="246" w:line="360" w:lineRule="auto"/>
        <w:rPr>
          <w:rFonts w:hint="eastAsia" w:ascii="宋体" w:hAnsi="宋体" w:cs="宋体"/>
          <w:color w:val="000000"/>
          <w:sz w:val="24"/>
          <w:szCs w:val="24"/>
          <w:highlight w:val="none"/>
        </w:rPr>
      </w:pPr>
      <w:r>
        <w:rPr>
          <w:rFonts w:hint="eastAsia" w:ascii="宋体" w:hAnsi="宋体" w:cs="宋体"/>
          <w:color w:val="000000"/>
          <w:spacing w:val="6"/>
          <w:sz w:val="24"/>
          <w:szCs w:val="24"/>
          <w:highlight w:val="none"/>
        </w:rPr>
        <w:t xml:space="preserve">甲方(单位盖章)</w:t>
      </w:r>
      <w:r>
        <w:rPr>
          <w:rFonts w:hint="eastAsia" w:ascii="宋体" w:hAnsi="宋体" w:cs="宋体"/>
          <w:color w:val="000000"/>
          <w:spacing w:val="5"/>
          <w:sz w:val="24"/>
          <w:szCs w:val="24"/>
          <w:highlight w:val="none"/>
        </w:rPr>
        <w:t xml:space="preserve">：</w:t>
      </w:r>
      <w:r>
        <w:rPr>
          <w:rFonts w:hint="eastAsia" w:ascii="宋体" w:hAnsi="宋体" w:cs="宋体"/>
          <w:color w:val="000000"/>
          <w:sz w:val="24"/>
          <w:szCs w:val="24"/>
          <w:highlight w:val="none"/>
        </w:rPr>
      </w:r>
      <w:r/>
    </w:p>
    <w:p>
      <w:pPr>
        <w:pStyle w:val="1131"/>
        <w:ind w:left="40"/>
        <w:spacing w:before="293" w:line="360" w:lineRule="auto"/>
        <w:rPr>
          <w:rFonts w:hint="eastAsia" w:ascii="宋体" w:hAnsi="宋体" w:cs="宋体"/>
          <w:color w:val="000000"/>
          <w:sz w:val="24"/>
          <w:szCs w:val="24"/>
          <w:highlight w:val="none"/>
        </w:rPr>
      </w:pPr>
      <w:r>
        <w:rPr>
          <w:rFonts w:hint="eastAsia" w:ascii="宋体" w:hAnsi="宋体" w:cs="宋体"/>
          <w:color w:val="000000"/>
          <w:spacing w:val="-6"/>
          <w:sz w:val="24"/>
          <w:szCs w:val="24"/>
          <w:highlight w:val="none"/>
        </w:rPr>
        <w:t xml:space="preserve">地</w:t>
      </w:r>
      <w:r>
        <w:rPr>
          <w:rFonts w:hint="eastAsia" w:ascii="宋体" w:hAnsi="宋体" w:cs="宋体"/>
          <w:color w:val="000000"/>
          <w:spacing w:val="-3"/>
          <w:sz w:val="24"/>
          <w:szCs w:val="24"/>
          <w:highlight w:val="none"/>
        </w:rPr>
        <w:t xml:space="preserve">址：电话：</w:t>
      </w:r>
      <w:r>
        <w:rPr>
          <w:rFonts w:hint="eastAsia" w:ascii="宋体" w:hAnsi="宋体" w:cs="宋体"/>
          <w:color w:val="000000"/>
          <w:sz w:val="24"/>
          <w:szCs w:val="24"/>
          <w:highlight w:val="none"/>
        </w:rPr>
      </w:r>
      <w:r/>
    </w:p>
    <w:p>
      <w:pPr>
        <w:pStyle w:val="1131"/>
        <w:ind w:left="43"/>
        <w:spacing w:before="274" w:line="360" w:lineRule="auto"/>
        <w:rPr>
          <w:rFonts w:hint="eastAsia" w:ascii="宋体" w:hAnsi="宋体" w:cs="宋体"/>
          <w:color w:val="000000"/>
          <w:sz w:val="24"/>
          <w:szCs w:val="24"/>
          <w:highlight w:val="none"/>
        </w:rPr>
      </w:pPr>
      <w:r>
        <w:rPr>
          <w:rFonts w:hint="eastAsia" w:ascii="宋体" w:hAnsi="宋体" w:cs="宋体"/>
          <w:color w:val="000000"/>
          <w:spacing w:val="-9"/>
          <w:sz w:val="24"/>
          <w:szCs w:val="24"/>
          <w:highlight w:val="none"/>
        </w:rPr>
        <w:t xml:space="preserve">代</w:t>
      </w:r>
      <w:r>
        <w:rPr>
          <w:rFonts w:hint="eastAsia" w:ascii="宋体" w:hAnsi="宋体" w:cs="宋体"/>
          <w:color w:val="000000"/>
          <w:spacing w:val="-7"/>
          <w:sz w:val="24"/>
          <w:szCs w:val="24"/>
          <w:highlight w:val="none"/>
        </w:rPr>
        <w:t xml:space="preserve">表签字：</w:t>
      </w:r>
      <w:r>
        <w:rPr>
          <w:rFonts w:hint="eastAsia" w:ascii="宋体" w:hAnsi="宋体" w:cs="宋体"/>
          <w:color w:val="000000"/>
          <w:sz w:val="24"/>
          <w:szCs w:val="24"/>
          <w:highlight w:val="none"/>
        </w:rPr>
      </w:r>
      <w:r/>
    </w:p>
    <w:p>
      <w:pPr>
        <w:pStyle w:val="113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31"/>
        <w:ind w:left="74"/>
        <w:spacing w:before="92" w:line="360" w:lineRule="auto"/>
        <w:rPr>
          <w:rFonts w:hint="eastAsia" w:ascii="宋体" w:hAnsi="宋体" w:cs="宋体"/>
          <w:color w:val="000000"/>
          <w:sz w:val="24"/>
          <w:szCs w:val="24"/>
          <w:highlight w:val="none"/>
        </w:rPr>
      </w:pPr>
      <w:r>
        <w:rPr>
          <w:rFonts w:hint="eastAsia" w:ascii="宋体" w:hAnsi="宋体" w:cs="宋体"/>
          <w:color w:val="000000"/>
          <w:spacing w:val="6"/>
          <w:sz w:val="24"/>
          <w:szCs w:val="24"/>
          <w:highlight w:val="none"/>
        </w:rPr>
        <w:t xml:space="preserve">乙方(单位盖章)：</w:t>
      </w:r>
      <w:r>
        <w:rPr>
          <w:rFonts w:hint="eastAsia" w:ascii="宋体" w:hAnsi="宋体" w:cs="宋体"/>
          <w:color w:val="000000"/>
          <w:sz w:val="24"/>
          <w:szCs w:val="24"/>
          <w:highlight w:val="none"/>
        </w:rPr>
      </w:r>
      <w:r/>
    </w:p>
    <w:p>
      <w:pPr>
        <w:pStyle w:val="1131"/>
        <w:ind w:left="40"/>
        <w:spacing w:before="293" w:line="360" w:lineRule="auto"/>
        <w:rPr>
          <w:rFonts w:hint="eastAsia" w:ascii="宋体" w:hAnsi="宋体" w:cs="宋体"/>
          <w:color w:val="000000"/>
          <w:sz w:val="24"/>
          <w:szCs w:val="24"/>
          <w:highlight w:val="none"/>
        </w:rPr>
      </w:pPr>
      <w:r>
        <w:rPr>
          <w:rFonts w:hint="eastAsia" w:ascii="宋体" w:hAnsi="宋体" w:cs="宋体"/>
          <w:color w:val="000000"/>
          <w:spacing w:val="-6"/>
          <w:sz w:val="24"/>
          <w:szCs w:val="24"/>
          <w:highlight w:val="none"/>
        </w:rPr>
        <w:t xml:space="preserve">地</w:t>
      </w:r>
      <w:r>
        <w:rPr>
          <w:rFonts w:hint="eastAsia" w:ascii="宋体" w:hAnsi="宋体" w:cs="宋体"/>
          <w:color w:val="000000"/>
          <w:spacing w:val="-3"/>
          <w:sz w:val="24"/>
          <w:szCs w:val="24"/>
          <w:highlight w:val="none"/>
        </w:rPr>
        <w:t xml:space="preserve">址：电话：</w:t>
      </w:r>
      <w:r>
        <w:rPr>
          <w:rFonts w:hint="eastAsia" w:ascii="宋体" w:hAnsi="宋体" w:cs="宋体"/>
          <w:color w:val="000000"/>
          <w:sz w:val="24"/>
          <w:szCs w:val="24"/>
          <w:highlight w:val="none"/>
        </w:rPr>
      </w:r>
      <w:r/>
    </w:p>
    <w:p>
      <w:pPr>
        <w:pStyle w:val="1131"/>
        <w:ind w:left="43"/>
        <w:spacing w:before="275" w:line="360" w:lineRule="auto"/>
        <w:rPr>
          <w:rFonts w:hint="eastAsia" w:ascii="宋体" w:hAnsi="宋体" w:cs="宋体"/>
          <w:color w:val="000000"/>
          <w:sz w:val="24"/>
          <w:szCs w:val="24"/>
          <w:highlight w:val="none"/>
        </w:rPr>
      </w:pPr>
      <w:r>
        <w:rPr>
          <w:rFonts w:hint="eastAsia" w:ascii="宋体" w:hAnsi="宋体" w:cs="宋体"/>
          <w:color w:val="000000"/>
          <w:spacing w:val="-9"/>
          <w:sz w:val="24"/>
          <w:szCs w:val="24"/>
          <w:highlight w:val="none"/>
        </w:rPr>
        <w:t xml:space="preserve">代</w:t>
      </w:r>
      <w:r>
        <w:rPr>
          <w:rFonts w:hint="eastAsia" w:ascii="宋体" w:hAnsi="宋体" w:cs="宋体"/>
          <w:color w:val="000000"/>
          <w:spacing w:val="-7"/>
          <w:sz w:val="24"/>
          <w:szCs w:val="24"/>
          <w:highlight w:val="none"/>
        </w:rPr>
        <w:t xml:space="preserve">表签字：</w:t>
      </w:r>
      <w:r>
        <w:rPr>
          <w:rFonts w:hint="eastAsia" w:ascii="宋体" w:hAnsi="宋体" w:cs="宋体"/>
          <w:color w:val="000000"/>
          <w:sz w:val="24"/>
          <w:szCs w:val="24"/>
          <w:highlight w:val="none"/>
        </w:rPr>
      </w:r>
      <w:r/>
    </w:p>
    <w:p>
      <w:pPr>
        <w:pStyle w:val="1131"/>
        <w:ind w:left="4960"/>
        <w:spacing w:before="79" w:line="360" w:lineRule="auto"/>
        <w:rPr>
          <w:rFonts w:hint="eastAsia" w:ascii="宋体" w:hAnsi="宋体" w:cs="宋体"/>
          <w:color w:val="000000"/>
          <w:sz w:val="24"/>
          <w:szCs w:val="24"/>
          <w:highlight w:val="none"/>
        </w:rPr>
      </w:pPr>
      <w:r>
        <w:rPr>
          <w:rFonts w:hint="eastAsia" w:ascii="宋体" w:hAnsi="宋体" w:cs="宋体"/>
          <w:color w:val="000000"/>
          <w:spacing w:val="-4"/>
          <w:sz w:val="24"/>
          <w:szCs w:val="24"/>
          <w:highlight w:val="none"/>
        </w:rPr>
        <w:t xml:space="preserve">合同签订日期： </w:t>
      </w:r>
      <w:r>
        <w:rPr>
          <w:rFonts w:hint="eastAsia" w:ascii="宋体" w:hAnsi="宋体" w:cs="宋体"/>
          <w:color w:val="000000"/>
          <w:spacing w:val="-2"/>
          <w:sz w:val="24"/>
          <w:szCs w:val="24"/>
          <w:highlight w:val="none"/>
        </w:rPr>
        <w:t xml:space="preserve">年 月 日</w:t>
      </w:r>
      <w:r>
        <w:rPr>
          <w:rFonts w:hint="eastAsia" w:ascii="宋体" w:hAnsi="宋体" w:cs="宋体"/>
          <w:color w:val="000000"/>
          <w:sz w:val="24"/>
          <w:szCs w:val="24"/>
          <w:highlight w:val="none"/>
        </w:rPr>
      </w:r>
      <w:r/>
    </w:p>
    <w:p>
      <w:pPr>
        <w:pStyle w:val="1131"/>
        <w:rPr>
          <w:color w:val="000000"/>
          <w:highlight w:val="none"/>
        </w:rPr>
      </w:pPr>
      <w:r>
        <w:rPr>
          <w:color w:val="000000"/>
          <w:highlight w:val="none"/>
        </w:rPr>
      </w:r>
      <w:r/>
    </w:p>
    <w:p>
      <w:pPr>
        <w:pStyle w:val="1131"/>
        <w:rPr>
          <w:color w:val="000000"/>
          <w:highlight w:val="none"/>
        </w:rPr>
      </w:pPr>
      <w:r>
        <w:rPr>
          <w:color w:val="000000"/>
          <w:highlight w:val="none"/>
        </w:rPr>
      </w:r>
      <w:r/>
    </w:p>
    <w:p>
      <w:pPr>
        <w:pStyle w:val="1131"/>
        <w:jc w:val="center"/>
        <w:widowControl/>
        <w:rPr>
          <w:rFonts w:ascii="宋体" w:hAnsi="宋体"/>
          <w:b/>
          <w:color w:val="000000"/>
          <w:sz w:val="36"/>
          <w:szCs w:val="36"/>
          <w:highlight w:val="none"/>
        </w:rPr>
        <w:sectPr>
          <w:headerReference w:type="default" r:id="rId13"/>
          <w:footerReference w:type="default" r:id="rId28"/>
          <w:footnotePr/>
          <w:endnotePr/>
          <w:type w:val="nextPage"/>
          <w:pgSz w:w="11905" w:h="16838" w:orient="portrait"/>
          <w:pgMar w:top="1134" w:right="1134" w:bottom="1134" w:left="1417" w:header="850" w:footer="850" w:gutter="0"/>
          <w:cols w:num="1" w:sep="0" w:space="1701" w:equalWidth="1"/>
          <w:docGrid w:linePitch="360"/>
        </w:sectPr>
      </w:pPr>
      <w:r>
        <w:rPr>
          <w:rFonts w:ascii="宋体" w:hAnsi="宋体"/>
          <w:b/>
          <w:color w:val="000000"/>
          <w:sz w:val="36"/>
          <w:szCs w:val="36"/>
          <w:highlight w:val="none"/>
        </w:rPr>
      </w:r>
      <w:r/>
    </w:p>
    <w:p>
      <w:pPr>
        <w:pStyle w:val="1331"/>
        <w:jc w:val="center"/>
        <w:rPr>
          <w:rFonts w:ascii="宋体" w:hAnsi="宋体"/>
          <w:i/>
          <w:iCs/>
          <w:color w:val="000000"/>
          <w:szCs w:val="24"/>
          <w:highlight w:val="none"/>
        </w:rPr>
      </w:pPr>
      <w:r/>
      <w:bookmarkEnd w:id="123"/>
      <w:r/>
      <w:bookmarkEnd w:id="124"/>
      <w:r/>
      <w:bookmarkStart w:id="141" w:name="_Toc11655"/>
      <w:r>
        <w:rPr>
          <w:rFonts w:hint="eastAsia" w:ascii="宋体" w:hAnsi="宋体" w:eastAsia="宋体" w:cs="宋体"/>
          <w:b/>
          <w:bCs/>
          <w:color w:val="000000"/>
          <w:sz w:val="36"/>
          <w:szCs w:val="36"/>
          <w:highlight w:val="none"/>
        </w:rPr>
        <w:t xml:space="preserve">第四部分  采购需求</w:t>
      </w:r>
      <w:bookmarkEnd w:id="141"/>
      <w:r>
        <w:rPr>
          <w:rFonts w:ascii="宋体" w:hAnsi="宋体"/>
          <w:i/>
          <w:iCs/>
          <w:color w:val="000000"/>
          <w:szCs w:val="24"/>
          <w:highlight w:val="none"/>
        </w:rPr>
      </w:r>
      <w:r/>
    </w:p>
    <w:p>
      <w:pPr>
        <w:pStyle w:val="1131"/>
        <w:ind w:firstLine="482"/>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一、</w:t>
      </w:r>
      <w:r>
        <w:rPr>
          <w:rFonts w:hint="eastAsia" w:ascii="宋体" w:hAnsi="宋体"/>
          <w:b/>
          <w:bCs/>
          <w:color w:val="000000"/>
          <w:sz w:val="24"/>
          <w:szCs w:val="24"/>
          <w:highlight w:val="none"/>
        </w:rPr>
        <w:t xml:space="preserve">项目概况</w:t>
      </w:r>
      <w:r>
        <w:rPr>
          <w:rFonts w:ascii="宋体" w:hAnsi="宋体"/>
          <w:b/>
          <w:bCs/>
          <w:color w:val="000000"/>
          <w:sz w:val="24"/>
          <w:szCs w:val="24"/>
          <w:highlight w:val="none"/>
        </w:rPr>
      </w:r>
      <w:r/>
    </w:p>
    <w:p>
      <w:pPr>
        <w:pStyle w:val="113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调度指挥中心的定位应是整合多种数据资源，集合多种业务的平台，为应急决策者快速调阅多方数据，准确高效地处理突发事件提供有利的业务支撑。而大屏幕显示系统则作为镇江市丹徒区公路事业发展中心指挥中心接入平台、应急指挥平台以及其他业务平台的前端示层，显示效果的好坏直接影响到业务平台功能的展现，从而间接地影响指挥调度的工作效率。正是基于这方面的考虑，大屏幕显示系统应该既具有较好的整体显示效果，又能够根据需要划分出多个显示区域分别显示不同内容。</w:t>
      </w:r>
      <w:r>
        <w:rPr>
          <w:rFonts w:ascii="宋体" w:hAnsi="宋体"/>
          <w:color w:val="000000"/>
          <w:sz w:val="24"/>
          <w:szCs w:val="24"/>
          <w:highlight w:val="none"/>
        </w:rPr>
      </w:r>
      <w:r/>
    </w:p>
    <w:p>
      <w:pPr>
        <w:pStyle w:val="113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根据《交通强国建设纲要》和《“十四五”现代综合交通运输体系发展规划》，要求加快构建“数字化、网络化、智能化”的交通管理体系。公路作为国家综合交通网络的核心组成部分，亟需通过现代化指挥中心实现全域路网实时监测、应急指挥调度和智慧化决策支持。</w:t>
      </w:r>
      <w:r>
        <w:rPr>
          <w:rFonts w:ascii="宋体" w:hAnsi="宋体"/>
          <w:color w:val="000000"/>
          <w:sz w:val="24"/>
          <w:szCs w:val="24"/>
          <w:highlight w:val="none"/>
        </w:rPr>
      </w:r>
      <w:r/>
    </w:p>
    <w:p>
      <w:pPr>
        <w:pStyle w:val="113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随着车路协同、5G、大数据等技术的普及，传统公路管理模式已无法满足海量数据处理、多源信息融合的需求。建设智能化指挥中心是推动公路管理从“经验驱动”向“数据驱动”转型的必然选择。</w:t>
      </w:r>
      <w:r>
        <w:rPr>
          <w:rFonts w:ascii="宋体" w:hAnsi="宋体"/>
          <w:color w:val="000000"/>
          <w:sz w:val="24"/>
          <w:szCs w:val="24"/>
          <w:highlight w:val="none"/>
        </w:rPr>
      </w:r>
      <w:r/>
    </w:p>
    <w:p>
      <w:pPr>
        <w:pStyle w:val="113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目前，镇江市丹徒区公路事业发展中心指挥中心采用2*4共计8块液晶拼接屏的方式，严重影响指挥大厅建设的先进性和使用的便捷性。为了有力保障高速公路的安全畅通和高效运行，充分发挥高速公路路网的整体效益，更好地实施高速公路的高效管理，进一步提升高速公路出行服务，丹徒区公路事业发展中心决定对指挥中心进行改造建设。</w:t>
      </w:r>
      <w:r>
        <w:rPr>
          <w:rFonts w:hint="eastAsia" w:ascii="宋体" w:hAnsi="宋体"/>
          <w:color w:val="000000"/>
          <w:sz w:val="24"/>
          <w:szCs w:val="24"/>
          <w:highlight w:val="none"/>
        </w:rPr>
      </w:r>
      <w:r/>
    </w:p>
    <w:p>
      <w:pPr>
        <w:pStyle w:val="1131"/>
        <w:ind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二</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工程内容</w:t>
      </w:r>
      <w:r>
        <w:rPr>
          <w:rFonts w:hint="eastAsia" w:ascii="宋体" w:hAnsi="宋体"/>
          <w:b/>
          <w:bCs/>
          <w:color w:val="000000"/>
          <w:sz w:val="24"/>
          <w:szCs w:val="24"/>
          <w:highlight w:val="none"/>
        </w:rPr>
      </w:r>
      <w:r/>
    </w:p>
    <w:p>
      <w:pPr>
        <w:pStyle w:val="113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本次采购范围承包范围：</w:t>
      </w:r>
      <w:r>
        <w:rPr>
          <w:rFonts w:hint="eastAsia" w:ascii="宋体" w:hAnsi="宋体"/>
          <w:b/>
          <w:color w:val="000000"/>
          <w:sz w:val="24"/>
          <w:szCs w:val="24"/>
          <w:highlight w:val="none"/>
        </w:rPr>
        <w:t xml:space="preserve">显示系统(核心设备)、大厅扩声系统、分布式系统、视频会议系统、大厅系统、综合布线、智慧调度系统、配套工作、环境提升工程</w:t>
      </w:r>
      <w:r>
        <w:rPr>
          <w:rFonts w:hint="eastAsia" w:ascii="宋体" w:hAnsi="宋体"/>
          <w:color w:val="000000"/>
          <w:sz w:val="24"/>
          <w:szCs w:val="24"/>
          <w:highlight w:val="none"/>
        </w:rPr>
        <w:t xml:space="preserve">等；包括但不限于完成：设计协调和深化、</w:t>
      </w:r>
      <w:r>
        <w:rPr>
          <w:rFonts w:ascii="宋体" w:hAnsi="宋体"/>
          <w:color w:val="000000"/>
          <w:sz w:val="24"/>
          <w:szCs w:val="24"/>
          <w:highlight w:val="none"/>
        </w:rPr>
        <w:t xml:space="preserve">设备材料的供应</w:t>
      </w:r>
      <w:r>
        <w:rPr>
          <w:rFonts w:hint="eastAsia" w:ascii="宋体" w:hAnsi="宋体"/>
          <w:color w:val="000000"/>
          <w:sz w:val="24"/>
          <w:szCs w:val="24"/>
          <w:highlight w:val="none"/>
        </w:rPr>
        <w:t xml:space="preserve">、加工制作、运输、试验、安装、测试、系统联动调试、产品保护、清洁、竣工档案编制、竣工验收和移交、售后服务及培训、维修保养、缺陷责任期的质量保修；以及为完成这些工作提供所有必须的许可证和执照、设备和工具、临时工程、施工措施、健康和安全管理、环境保护管理、工程管理、担保和保险、等所有相关工作及费用。</w:t>
      </w:r>
      <w:r>
        <w:rPr>
          <w:rFonts w:ascii="宋体" w:hAnsi="宋体"/>
          <w:color w:val="000000"/>
          <w:sz w:val="24"/>
          <w:szCs w:val="24"/>
          <w:highlight w:val="none"/>
        </w:rPr>
      </w:r>
      <w:r/>
    </w:p>
    <w:p>
      <w:pPr>
        <w:pStyle w:val="113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具体实施范围以工程量清单及图纸为准，实现设计功能要求。以上内容的项目不论采购文件所附清单是否包括，投标人均应按国家及地市有关施工和验收维护规范进行施工、验收、移交及维护。</w:t>
      </w:r>
      <w:r>
        <w:rPr>
          <w:rFonts w:ascii="宋体" w:hAnsi="宋体"/>
          <w:color w:val="000000"/>
          <w:sz w:val="24"/>
          <w:szCs w:val="24"/>
          <w:highlight w:val="none"/>
        </w:rPr>
      </w:r>
      <w:r/>
    </w:p>
    <w:p>
      <w:pPr>
        <w:pStyle w:val="113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主要内容为：</w:t>
      </w:r>
      <w:r>
        <w:rPr>
          <w:rFonts w:ascii="宋体" w:hAnsi="宋体"/>
          <w:color w:val="000000"/>
          <w:sz w:val="24"/>
          <w:szCs w:val="24"/>
          <w:highlight w:val="none"/>
        </w:rPr>
      </w:r>
      <w:r/>
    </w:p>
    <w:p>
      <w:pPr>
        <w:pStyle w:val="113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(1)对现指挥中心进行功能部局调整优化选用合适的空间，对大厅进行装修升级，对顶部防水进行优化，降低显示屏区域因为渗水问题导致设备隐患。</w:t>
      </w:r>
      <w:r>
        <w:rPr>
          <w:rFonts w:ascii="宋体" w:hAnsi="宋体"/>
          <w:color w:val="000000"/>
          <w:sz w:val="24"/>
          <w:szCs w:val="24"/>
          <w:highlight w:val="none"/>
        </w:rPr>
      </w:r>
      <w:r/>
    </w:p>
    <w:p>
      <w:pPr>
        <w:pStyle w:val="113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(2)对指挥中心进行智能化改造，建设大屏显示系统、扩声系统、会议系统、综合布线、分布式等系统合理规划，提升指挥中心智能化水平。</w:t>
      </w:r>
      <w:r>
        <w:rPr>
          <w:rFonts w:ascii="宋体" w:hAnsi="宋体"/>
          <w:color w:val="000000"/>
          <w:sz w:val="24"/>
          <w:szCs w:val="24"/>
          <w:highlight w:val="none"/>
        </w:rPr>
      </w:r>
      <w:r/>
    </w:p>
    <w:p>
      <w:pPr>
        <w:pStyle w:val="113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(3)建设镇江市丹徒区公路事业发展中心智慧调度系统，实现指挥中心端与应急现场的双向</w:t>
      </w:r>
      <w:r>
        <w:rPr>
          <w:rFonts w:ascii="宋体" w:hAnsi="宋体"/>
          <w:color w:val="000000"/>
          <w:sz w:val="24"/>
          <w:szCs w:val="24"/>
          <w:highlight w:val="none"/>
        </w:rPr>
      </w:r>
      <w:r/>
    </w:p>
    <w:p>
      <w:pPr>
        <w:pStyle w:val="113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音视频通讯(包括视频对讲、语音对讲)、即时消息通讯(包括文字、图片、文件、短视频)等功能，提升指挥过程中资源调度效率。</w:t>
      </w:r>
      <w:r>
        <w:rPr>
          <w:rFonts w:ascii="宋体" w:hAnsi="宋体"/>
          <w:color w:val="000000"/>
          <w:sz w:val="24"/>
          <w:szCs w:val="24"/>
          <w:highlight w:val="none"/>
        </w:rPr>
      </w:r>
      <w:r/>
    </w:p>
    <w:p>
      <w:pPr>
        <w:pStyle w:val="1131"/>
        <w:ind w:firstLine="482"/>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三、项目主要设备及软件技术参数要求</w:t>
      </w:r>
      <w:r>
        <w:rPr>
          <w:rFonts w:ascii="宋体" w:hAnsi="宋体"/>
          <w:b/>
          <w:bCs/>
          <w:color w:val="000000"/>
          <w:sz w:val="24"/>
          <w:szCs w:val="24"/>
          <w:highlight w:val="none"/>
        </w:rPr>
      </w:r>
      <w:r/>
    </w:p>
    <w:p>
      <w:pPr>
        <w:pStyle w:val="1131"/>
        <w:ind w:firstLine="2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3.1.参数要求中所有标★规格要求均为实质性要求，必须满足，</w:t>
      </w:r>
      <w:r>
        <w:rPr>
          <w:rFonts w:ascii="宋体" w:hAnsi="宋体"/>
          <w:color w:val="000000"/>
          <w:sz w:val="24"/>
          <w:szCs w:val="24"/>
          <w:highlight w:val="none"/>
        </w:rPr>
        <w:t xml:space="preserve">不响应作为无效标处理；</w:t>
      </w:r>
      <w:r>
        <w:rPr>
          <w:rFonts w:hint="eastAsia" w:ascii="宋体" w:hAnsi="宋体"/>
          <w:color w:val="000000"/>
          <w:sz w:val="24"/>
          <w:szCs w:val="24"/>
          <w:highlight w:val="none"/>
        </w:rPr>
        <w:t xml:space="preserve">标▲规格要求每有一项</w:t>
      </w:r>
      <w:r>
        <w:rPr>
          <w:rFonts w:ascii="宋体" w:hAnsi="宋体"/>
          <w:color w:val="000000"/>
          <w:sz w:val="24"/>
          <w:szCs w:val="24"/>
          <w:highlight w:val="none"/>
        </w:rPr>
        <w:t xml:space="preserve">负偏离扣技术分</w:t>
      </w:r>
      <w:r>
        <w:rPr>
          <w:rFonts w:hint="eastAsia" w:ascii="宋体" w:hAnsi="宋体"/>
          <w:color w:val="000000"/>
          <w:sz w:val="24"/>
          <w:szCs w:val="24"/>
          <w:highlight w:val="none"/>
        </w:rPr>
        <w:t xml:space="preserve">2分，其他每有一项负偏离扣1分，扣完为止。</w:t>
      </w:r>
      <w:r>
        <w:rPr>
          <w:rFonts w:ascii="宋体" w:hAnsi="宋体"/>
          <w:color w:val="000000"/>
          <w:sz w:val="24"/>
          <w:szCs w:val="24"/>
          <w:highlight w:val="none"/>
        </w:rPr>
      </w:r>
      <w:r/>
    </w:p>
    <w:p>
      <w:pPr>
        <w:pStyle w:val="1131"/>
        <w:ind w:firstLine="2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3.2. 主要设备（显示系统、分布式系统、</w:t>
      </w:r>
      <w:r>
        <w:rPr>
          <w:rFonts w:ascii="宋体" w:hAnsi="宋体"/>
          <w:color w:val="000000"/>
          <w:sz w:val="24"/>
          <w:szCs w:val="24"/>
          <w:highlight w:val="none"/>
        </w:rPr>
        <w:t xml:space="preserve">视频会议系统</w:t>
      </w:r>
      <w:r>
        <w:rPr>
          <w:rFonts w:hint="eastAsia" w:ascii="宋体" w:hAnsi="宋体"/>
          <w:color w:val="000000"/>
          <w:sz w:val="24"/>
          <w:szCs w:val="24"/>
          <w:highlight w:val="none"/>
        </w:rPr>
        <w:t xml:space="preserve">）提供原厂的售后服务承诺函原件（中标单位最迟必须在签订合同前提供主要设备的原厂售后服务承诺函原件）。</w:t>
      </w:r>
      <w:r>
        <w:rPr>
          <w:rFonts w:ascii="宋体" w:hAnsi="宋体"/>
          <w:color w:val="000000"/>
          <w:sz w:val="24"/>
          <w:szCs w:val="24"/>
          <w:highlight w:val="none"/>
        </w:rPr>
      </w:r>
      <w:r/>
    </w:p>
    <w:p>
      <w:pPr>
        <w:pStyle w:val="1131"/>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具体参数要求：</w:t>
      </w:r>
      <w:r>
        <w:rPr>
          <w:rFonts w:hint="eastAsia" w:ascii="宋体" w:hAnsi="宋体"/>
          <w:color w:val="000000"/>
          <w:sz w:val="24"/>
          <w:szCs w:val="24"/>
          <w:highlight w:val="none"/>
        </w:rPr>
      </w:r>
      <w:r/>
    </w:p>
    <w:tbl>
      <w:tblPr>
        <w:tblW w:w="9509" w:type="dxa"/>
        <w:tblInd w:w="-15" w:type="dxa"/>
        <w:tblLayout w:type="fixed"/>
        <w:tblCellMar>
          <w:left w:w="108" w:type="dxa"/>
          <w:top w:w="0" w:type="dxa"/>
          <w:right w:w="108" w:type="dxa"/>
          <w:bottom w:w="0" w:type="dxa"/>
        </w:tblCellMar>
        <w:tblLook w:val="04A0" w:firstRow="1" w:lastRow="0" w:firstColumn="1" w:lastColumn="0" w:noHBand="0" w:noVBand="1"/>
      </w:tblPr>
      <w:tblGrid>
        <w:gridCol w:w="656"/>
        <w:gridCol w:w="2767"/>
        <w:gridCol w:w="4455"/>
        <w:gridCol w:w="755"/>
        <w:gridCol w:w="876"/>
      </w:tblGrid>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序号</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名称</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招标参数</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单位</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数量</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一、</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显示系统</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tcPr>
          <w:p>
            <w:pPr>
              <w:pStyle w:val="1131"/>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pStyle w:val="1131"/>
              <w:jc w:val="center"/>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131"/>
              <w:jc w:val="center"/>
              <w:rPr>
                <w:rFonts w:hint="eastAsia" w:ascii="宋体" w:hAnsi="宋体" w:cs="宋体"/>
                <w:color w:val="000000"/>
                <w:sz w:val="22"/>
                <w:highlight w:val="none"/>
              </w:rPr>
            </w:pPr>
            <w:r>
              <w:rPr>
                <w:rFonts w:hint="eastAsia" w:ascii="宋体" w:hAnsi="宋体" w:cs="宋体"/>
                <w:color w:val="000000"/>
                <w:sz w:val="22"/>
                <w:highlight w:val="none"/>
              </w:rPr>
            </w:r>
            <w:r/>
          </w:p>
        </w:tc>
      </w:tr>
      <w:tr>
        <w:trPr>
          <w:trHeight w:val="69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1</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监控大厅显示屏</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显示屏要求如下：</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★LED像素点间距≤1.25mm;像素密度≥640000点/㎡，显示分辨率≥3840*2160，全倒装COB，1R1G1B， 三合一封装；尺寸不小于:6600mmx2362mm。（提供产品彩页或投标人承诺函）</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显示屏幕峰值亮度≥600nits,峰值功耗＜300W/m2，平均功耗＜100W/m2。</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单元箱体尺寸为 600mm*337.5mm，单元比例16比9。</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箱体材质：箱体采用压铸铝合金，整体压铸，一次成型。</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驱动方式：恒流驱动。</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视角:水平≥160°；垂直≥160°，刷新频率:≥3800Hz。</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对比度：≥3000：1。</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含不少于6套发送卡及其附件。</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发送卡要求如下：</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4网口 2K LED发送卡</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支持≥4路网口带载输出，带载≥260万像素，每网口≥65万像素。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▲支持亮度调节，可通过LED显示屏客户端、遥控器、物理按键进行亮度调节。（提供首页具有CNAS或CMA标识的第三方检测报告复印件并加盖投标人公章）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支持红绿蓝三色多级调节。支持通过客户端、遥控器进行调节。</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支持通过设备双千兆网络接口，通过TCP/IP协议实现多设备级联管理。</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▲支持通过登录主设备，查看主发送卡下所有级联从发送卡的屏幕位置、发送卡IP 地址、序列号、带载屏幕分辨率、运行状态、软件版本、运行温度内存使用率等信息。（提供首页具有CNAS或CMA标识的第三方检测报告复印件并加盖投标人公章）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可通过设备自带客户端、遥控器同时控制多台发送卡设备参数的调节。</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▲支持手动校时，支持 NTP校时。（提供首页具有CNAS或CMA标识的第三方检测报告复印件并加盖投标人公章）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具有除湿模式，可让显示屏亮度逐渐提升，除湿功能开启后可手动关。</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平方</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15.59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2</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主屏框架结构及包边</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室内LED大屏配套定制框架</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r>
              <w:rPr>
                <w:rFonts w:hint="eastAsia" w:ascii="宋体" w:hAnsi="宋体" w:cs="宋体"/>
                <w:color w:val="000000"/>
                <w:sz w:val="22"/>
                <w:highlight w:val="none"/>
                <w:lang w:bidi="ar"/>
              </w:rPr>
            </w:r>
            <w:r/>
          </w:p>
        </w:tc>
      </w:tr>
      <w:tr>
        <w:trPr>
          <w:trHeight w:val="37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3</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主屏控制箱（配电箱）</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配电柜额定功率≥10KW，具备3个以上单相回路，含所需的空开、防雷器。</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可通过RS485接口读取配电柜内部温度。</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▲检测到烟雾后可自动断电。超过温度阈值后可自动断电。（提供首页具有CNAS或CMA标识的第三方检测报告复印件并加盖投标人公章）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输入输出均有断路器保护措施，在发生过流或短路后可以自动断电。</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支持手动一键启动、停止；支持单路启动停止；支持分时段控制；支持电脑远程控制。</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▲支持记录运行状态、异常报警（高温、烟雾）等。（提供首页具有CNAS或CMA标识的第三方检测报告复印件并加盖投标人公章）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网络接口：支持MODBUS-TCP协议；</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串口通讯端口：支持RS485、MODBUS-RTU协议。</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支持设备分级上电，避免瞬间电流过大。</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可实现检测到人员后1秒内自动上电，检测到人员离开后自动断电功能，从而实现节约能源的效果，并且自动延迟断电的时间可配置，延迟时长由0分钟至99分钟任意配置。</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r>
              <w:rPr>
                <w:rFonts w:hint="eastAsia" w:ascii="宋体" w:hAnsi="宋体" w:cs="宋体"/>
                <w:color w:val="000000"/>
                <w:sz w:val="22"/>
                <w:highlight w:val="none"/>
                <w:lang w:bidi="ar"/>
              </w:rPr>
            </w:r>
            <w:r/>
          </w:p>
        </w:tc>
      </w:tr>
      <w:tr>
        <w:trPr>
          <w:trHeight w:val="31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4</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信息展示屏</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屏幕尺寸：43.8 英寸</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亮度：400cd/㎡</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支架底座：旋转升降</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是否内置音箱：内置音箱</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电源类型：内置电源</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分辨率：3840*1080</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类型：直面屏</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对比度：1000:1</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屏幕比例:32:9</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屏幕刷新率: 120Hz</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接口：Type-C，HDMI，DP</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r>
              <w:rPr>
                <w:rFonts w:hint="eastAsia" w:ascii="宋体" w:hAnsi="宋体" w:cs="宋体"/>
                <w:color w:val="000000"/>
                <w:sz w:val="22"/>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5</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综合视频管理平台迁移重新安装</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含安装调试、软件升级、现有内外场视频接入等</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项</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r>
              <w:rPr>
                <w:rFonts w:hint="eastAsia" w:ascii="宋体" w:hAnsi="宋体" w:cs="宋体"/>
                <w:color w:val="000000"/>
                <w:sz w:val="22"/>
                <w:highlight w:val="none"/>
                <w:lang w:bidi="ar"/>
              </w:rPr>
            </w:r>
            <w:r/>
          </w:p>
        </w:tc>
      </w:tr>
      <w:tr>
        <w:trPr>
          <w:trHeight w:val="10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6</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辅材</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为完成设备安装和调试所需的，但未在工程量清单中列出的材料和相应规格的线缆(包括电源配线、信号线、控制线、插头、接头、光缆、光纤跳线、HDN视频跳线、电源适配器、网线、小交换机等）</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项</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二、</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大厅扩声系统</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rPr>
                <w:rFonts w:hint="eastAsia" w:ascii="宋体" w:hAnsi="宋体" w:cs="宋体"/>
                <w:color w:val="000000"/>
                <w:sz w:val="22"/>
                <w:highlight w:val="none"/>
              </w:rPr>
            </w:pP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1</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现有大厅扩声系统迁移、重新安装</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含所需安装支架、安装调试</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项</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r>
              <w:rPr>
                <w:rFonts w:hint="eastAsia" w:ascii="宋体" w:hAnsi="宋体" w:cs="宋体"/>
                <w:color w:val="000000"/>
                <w:sz w:val="22"/>
                <w:highlight w:val="none"/>
                <w:lang w:bidi="ar"/>
              </w:rPr>
            </w:r>
            <w:r/>
          </w:p>
        </w:tc>
      </w:tr>
      <w:tr>
        <w:trPr>
          <w:trHeight w:val="82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2</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线缆及辅材</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包括电源配线、信号线、控制线、插头、连接头，音频线、音箱线、电源线等连接线以及所需的配件等，含敷设及所需的管材(满足所有音箱、扩声系统的使用需求)</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项</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三、</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分布式系统</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rPr>
                <w:rFonts w:hint="eastAsia" w:ascii="宋体" w:hAnsi="宋体" w:cs="宋体"/>
                <w:color w:val="000000"/>
                <w:sz w:val="22"/>
                <w:highlight w:val="none"/>
              </w:rPr>
            </w:pP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1</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分布式输入节点</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支持≥1路1080P60输入，支持自定义分辨率。</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设备的前面板具备OLED点阵屏，可以显示设备的运行状态，同时针对OLED的显示内容进行编辑。</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拼控输入盒子：具备不少于1个HDMI输入接口，1个 HDMI环通输出接口，1个3.5mm音频输入接口，1个3.5mm音频输出接口，1个千兆光口，1个千兆电口，1个USB接口，1个RS485接口，1个RS232接口，1个IR接口（支持自定义为IR IN和IR OUT），1个IO接口，1个3.3V供电接口，1个RELAY接口，1个复位按键RESET，1个4PIN调试串口，1个AC 220V交流电源供电口。支持POE供电。</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支持对输入信号进行裁剪和显示的功能，可以按照上下左右四个方向维度进行裁剪，实现输入信号的自定义区域显示功能。</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输入盒可接入分辨率为1024×768 @60Hz、1280×1024 @60Hz、1360×768 @60Hz、1440×900 @60Hz、1280×960@60Hz、1600×1200 @60Hz、1280×720 @60Hz、1920×1080 @60Hz、1920×1200 @60Hz、3840×2160 @30Hz、3840×2160 @60Hz、4096×2160 @30Hz、4096×2160 @60Hz的视频信号，且支持接入分辨率小于4096×2160的自定义分辨率视频信号。</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▲半宽设计，支持2个盒子组装成一个机柜的宽度，实现标准机柜的安装，设备同时自带磁吸功能，可吸附于屏幕支架等金属质地上。（提供首页具有CNAS或CMA标识的第三方检测报告复印件并加盖投标人公章）</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台</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9.00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2</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分布式拼接输出节点</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支持≥1路1080P60输出，支持自定义分辨率</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设备具备AI超分功能，无需外部设备，实现对于输入图像通过算法进行识别和增强，实现输出图像的显示优化，系统可进行算法的升级和迭代。（提供首页具有CNAS或CMA标识的第三方检测报告复印件并加盖投标人公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拼控输出盒子：具备不少于1个HDMI输出接口，1个 3.5mm音频输入接口，1个3.5mm音频输出接口，1个千兆光口，1个千兆电口接口，1个USB接口，1个RS485接口，1个RS232接口，1个IR接口（支持自定义为IR IN和IR OUT），1个IO接口，1个3.3V供电接口，1个RELAY接口，1个复位按键，1个4PIN调试串口，1个AC 220V交流电源供电口。支持POE供电。</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支持组播和单播两种模式。 在单播模式下，可通过多次取流的方式，将1路码流在多个显示单元多次上墙；在组播模式下，设置组播协议后，可对同一路码流进行复制，通过一次取流可在多个显示单元多次上墙。切换单播或组播模式无需升级操作系统。</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输出盒可输出分辨率为4096×2160 @60Hz、4096×2160@30Hz、38</w:t>
            </w:r>
            <w:r>
              <w:rPr>
                <w:rFonts w:hint="eastAsia" w:ascii="宋体" w:hAnsi="宋体" w:cs="宋体"/>
                <w:color w:val="000000"/>
                <w:sz w:val="22"/>
                <w:highlight w:val="none"/>
                <w:lang w:bidi="ar"/>
              </w:rPr>
              <w:t xml:space="preserve">40×2160 @60Hz、3840×2160@30Hz、1920×1080@60Hz、1920×1080@50 Hz、UXGA (1600×1200@60Hz)、WUXGA(1920× 1200@60Hz)、SXGA3(1400×1050@60Hz)、WSXGA (1680×1050@60 Hz)、XGA(1024×768@60Hz)、SXGA (1280×1024@60Hz)、1280×720@60Hz、1280×720@50Hz的视频信号，且支持输出分辨率小于4096×2160的自定义分辨率视频信号。</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上墙信号支持底图功能，最大可支持8192×4320分辨率底图的显示，可进行底图的上传和替换，最大可上传并存储4张底图，底图格式为JPG/JPEG。</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▲具有GB/T 28181、ONVIF、802.3at协议设置选项，支持H.264、H.265、SMART 264、SMART 265、MJPEG格式视频码流的解码，支持G711A、G711U、G722.1、AAC_LC、G726、MP2L2格式音频码流的解码，单个输入/输出盒子可实现9路200万/4路400W/2路800W/1路1600W像素IPC等网络视频流的解码，支持对主/子码流区分取流和解码显示。（提供首页具有CNAS或CMA标识的第三方检测报告复印件并加盖投标人公章）</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台</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6.00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3</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分布式矩阵输出节点</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支持≥1路1080P60输出，支持自定义分辨率</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设备具备AI超分功能，无需外部设备，实现对于输入图像通过算法进行识别和增强，实现输出图像的显示优化，系统可进行算法的升级和迭代。（提供首页具有CNAS或CMA标识的第三方检测报告复印件并加盖投标人公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拼控输出盒子：具备不少于1个HDMI输出接口，1个 3.5mm音频输入接口，1个3.5mm音频输出接口，1个千兆光口，1个千兆电口接口，1个USB接口，1个RS485接口，1个RS232接口，1个IR接口（支持自定义为IR IN和IR OUT），1个IO接口，1个3.3V供电接口，1个RELAY接口，1个复位按键，1个4PIN调试串口，1个AC 220V交流电源供电口。支持POE供电。</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支持组播和单播两种模式。 在单播模式下，可通过多次取流的方式，将1路码流在多个显示单元多次上墙；在组播模式下，设置组播协议后，可对同一路码流进行复制，通过一次取流可在多个显示单元多次上墙。切换单播或组播模式无需升级操作系统。</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输出盒可输出分辨率为4096×2160 @60Hz、4096×2160@30Hz、38</w:t>
            </w:r>
            <w:r>
              <w:rPr>
                <w:rFonts w:hint="eastAsia" w:ascii="宋体" w:hAnsi="宋体" w:cs="宋体"/>
                <w:color w:val="000000"/>
                <w:sz w:val="22"/>
                <w:highlight w:val="none"/>
                <w:lang w:bidi="ar"/>
              </w:rPr>
              <w:t xml:space="preserve">40×2160 @60Hz、3840×2160@30Hz、1920×1080@60Hz、1920×1080@50 Hz、UXGA (1600×1200@60Hz)、WUXGA(1920× 1200@60Hz)、SXGA3(1400×1050@60Hz)、WSXGA (1680×1050@60 Hz)、XGA(1024×768@60Hz)、SXGA (1280×1024@60Hz)、1280×720@60Hz、1280×720@50Hz的视频信号，且支持输出分辨率小于4096×2160的自定义分辨率视频信号。</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上墙信号支持底图功能，最大可支持8192×4320分辨率底图的显示，可进行底图的上传和替换，最大可上传并存储4张底图，底图格式为JPG/JPEG。</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▲具有GB/T 28181、ONVIF、802.3at协议设置选项，支持H.264、H.265、SMART 264、SMART 265、MJPEG格式视频码流的解码，支持G711A、G711U、G722.1、AAC_LC、G726、MP2L2格式音频码流的解码，单个输入/输出盒子可实现9路200万/4路400W/2路800W/1路1600W像素IPC等网络视频流的解码，支持对主/子码流区分取流和解码显示。（提供首页具有CNAS或CMA标识的第三方检测报告复印件并加盖投标人公章）</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台</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3.00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4</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分布式拼接授权</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1、屏幕管理：支持拼控大屏的管理，解码输出通道关联、输出分辨率调整、音频通道管理；</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2、信号管理：支持拼控输入信号分组管理、信号权限分配给指定用户，支持同步坐席信号；</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3、大屏控制：支持设置大屏的底图、大屏开关（关联LED配电柜）、大屏场景设置、场景分组、信号（监控信号、本地信号、抓屏信号、播控信号、坐席信号、媒体文件等）上屏、画面布局模板设置、清屏、横幅字幕、信号开窗、窗口层级设置、窗口声音开关、窗口锁定、离线编辑、大屏回显、监控点轮询；支持大屏预案设置、启停预案；</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4、运维管理：支持查看屏幕数量、拼控器数量、拼控器在离线情况等；</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5、支持通过平板来操作大屏、中控设备，根据授权模块，实现解码拼控、内容播控的、环境中控的平板操作。</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台</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5</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分布式节点工装</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配套安装支架</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台</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2.00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6</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分布式数据处理中心</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处理器：≥8核、≥16线程、≥3.0 GHz</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内存：≥8 GB，3200速率，DDR4，≥4个内存插槽</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SSD硬盘： ≥1个 256 G M.2 SSD</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HDD硬盘：≥1个1 T HDD，硬盘转速5400转</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显卡：独立显卡，显存容量≥2 GB</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光驱：带光驱</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电源：200 W</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键鼠：含USB有线键鼠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显示器：≥23.8英寸，分辨率≥1920x1080，刷新率≥75Hz，1个HDMI，1个VGA视频接口</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操作系统：麒麟</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7</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平板电脑</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分布式平板：11英寸以上 内存8+128G， 处理器：天玑9300及以上     路网上报平板：9英寸以上 内存8+128G， 处理器：天玑9300及以上 （满足以上产品参数或者同等性能产品）</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2.00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四、</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视频会议系统</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rPr>
                <w:rFonts w:hint="eastAsia" w:ascii="宋体" w:hAnsi="宋体" w:cs="宋体"/>
                <w:color w:val="000000"/>
                <w:sz w:val="22"/>
                <w:highlight w:val="none"/>
              </w:rPr>
            </w:pP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1</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视频会议主机</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1.所投产品和视讯平台为标准同一品牌，采用嵌入式操作系统，非Windows系统。</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2.支持多会议平台切换能力， 包含自有会议系统平台、ZOOM平台、 H.323/SIP平台等， 切换时设备无需重启；</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▲3.采用国产自主的芯片/模块/模组，以及国产自主的元器件（提供首页具有CNAS或CMA标识的第三方检测报告复印件并加盖投标人公章）。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4.支持自有品牌专用会议摄像机接入，支持第三方高清摄像机HDMI接口接入，终端可自由切换摄像机信号源。</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5.支持H.265、H.264SVC、H.264HP、H.264、H.263、H263+、多种国际通 用视频编解码协议。</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6.支持G.711、G.722、G722.1、G722.1C、OPUS等音频编解码协议。</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7.支持H.323、SIP国际标准通信协议，支持H.235、SRTP加密，保证会议安全。 </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8.支持OpenVPN功能</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9.终端支持 HDMI与USB-C接口以有线方式输入辅流，支持通过无线网络方式（2.4GHz&amp;5GHz频段）输入辅流。</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▲10.视频会议主流最大支持4k@30fps或1080P30fps，辅流最大支持4k@15fps或1080P30fps（提供首页具有CNAS或CMA标识的第三方检测报告复印件并加盖投标人公章）。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11.支持三屏4K显示，支持自定义屏幕显示本地、远端、辅流图像内容。 </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▲12.具备先进的网络丢包恢复机制，可抗30%视频丢包；在网络出现80%丢包情况下，音频正常通话， 能够理解语句含义（提供首页具有CNAS或CMA标识的第三方检测报告复印件并加盖投标人公章）。 </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13.支持至少2路HDMI输入、3路USB输入、3路HDMI输出接口；至少支持1组3.5mm线性输入、输出接口； </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14.支持搭配同品牌会议全向麦（不低于12阵列麦克）使用，麦克风集成触摸屏方便进行设备控制，可覆盖大会议桌拾音场景，提高通话效果。</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15.支持以有线的方式连接至少4个阵列麦克风，360°拾音，拾音范围不小于3米，满足大型会场的拾音需求。 </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16.支持外接会议触控平板，通过有线或者无线的方式与主机连接，通过触控平板对终端完成发起控制摄像机、拨号等操作。 </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17.支持对接第三方触屏电视使用，实现通过触控电 视对终端进行控制操作。</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▲18.低带宽性能，支持最低带宽在2Mbps会议带宽下，实现4K30帧图像格式编解码；支持最低带宽在512Kbps会议带宽下，实现1080P 30帧图像格式编解码（提供首页具有CNAS或CMA标识的第三方检测报告复印件并加盖投标人公章）。 </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19.支持通过有线或无线配件连接终端的方式实现USB外设模式，将终端外接的音视频配件作为PC的外设使用，令PC可以使用终端的音视频能力，方便用户个人电脑接入社会化云会议平台的会议室使用场景；</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▲20.支持双网口配置：支持两个有线网口不同的网络配置，包含LLDP、VLAN、端口连接速率、MTU等，支持会议软件APP指定网络通道 ；（提供首页具有CNAS或CMA标识的第三方检测报告复印件并加盖投标人公章）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★21.所投产品必须和镇江市公路事业发展中心可以无缝对接，实现互联互通互控；提供承诺函，格式自拟。</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2</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视频会议摄像机（含三角支架）</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1、摄像头和视频会议主机同标准同一品牌。</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2、摄像头支持不低于12倍光学+3倍数码变焦，支持4K30, 1080p60/30, 720p60/30视频输出分辨率；支持云台和PTZ控制。</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3、摄像机水平视角≥80°，垂直视角≥50°（须提供生产厂家的彩页或产品手册说明）。</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4、摄像机水平转动角度≥±100°；垂直转动角度≥±30°；</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5、摄像机可以选择切换手动和自动模式，实现调整聚焦、曝光、白平衡功能。</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6、支持终端对多个摄像机进行自定义命名方便用户加以区分</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7、支持不低于1个Internet接口，可通过网口连接到品牌设备管理平台进行管理，支持统一升级，简化IT运维成本。</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8、支持USB2.0、USB3.0输出接口、网络输出接口、HDMI输出接口、3.5mm线性输入/输出接口。</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9、支持 安全锁孔，可防止设备坠落。</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10、支持AI功能，如：自动框人像，可实时检测与会者，根据与会者位置自动调整呈现最佳画幅，免去手动调节摄像机操作。</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11、摄像头支持红外透传功能，实现终端遥控器通过摄像机控制机房内会议终端，方便调试。</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12、摄像头支持图像倒转功能，方便摄像机安装在天花板上。</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13、摄像头支持本地软件升级和通过高清终端远程升级。</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3</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接入现有网络</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与现有大屏，扩声系统对接，与市公路发展中心会议系统对接</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项</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五、</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大厅系统</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rPr>
                <w:rFonts w:hint="eastAsia" w:ascii="宋体" w:hAnsi="宋体" w:cs="宋体"/>
                <w:color w:val="000000"/>
                <w:sz w:val="22"/>
                <w:highlight w:val="none"/>
              </w:rPr>
            </w:pP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1</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综合控制工位</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根据业主要求定制，含桌面接线盒，含PDU(按需配置)、亚克力板，侧面信息铭牌、含4个人体工学座椅。</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参考参数如下：</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控制台长度为 4200mm（根据现场调整）；控制台深度为 1000mm，提供不小于 540mm 的腿部空间和纵向 600mm 桌面操作空间；工作台面到地面距离为 740-755 mm，满足人机工程学要求；</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框架结构：内部主框架为厚度 2.0mm 一级冷轧钢板，承重梁使用厚度为 3.0mm 一级冷轧钢，表面防静电喷塑涂层处理；</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台面板：面板使用实木颗粒板双面贴防火板加工，整体厚度不低于 27mm，符合相关环保标准。面板前侧采用 39mm 鸭嘴封边手枕，面板后侧采用 T 型封边或者 PVC 封边，与桌面材质无缝粘接，保证整体外观协调统一。</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控制台木质件表面贴面层，耐污染：达到 5 级；</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控制台桌面表面最大静载荷为 360Kg，面板下部有钣金支臂支撑，采用 2.5mm 优质钢板折弯制作，其中间位置增加方管梁支撑，其规格为 30mm*50mm；</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前后门板使用实木颗粒板双帖防火板，整体厚度为 20mm，使用铰链连接到框架上，保证其 80000 次无障碍开启，可实现快速安装和拆卸；</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含六位三孔 PDU 电源模块、网络模块、或可能需要的小交换机。</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操作台底部可放电脑主机或其它设备，各机位之间互相连通，便于布线及走线。</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工作椅技术指标：</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腰背部分离式设计，整个腰背结构根据人体曲线弧度进行仿真构造，背部加宽，弹性背包，腰部上顶有力支撑；</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植绒特网座椅，坐深 6cm，五档可调；</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大曲面 3D 头枕；</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椅背 3 挡锁定，最大仰角 140°；</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3D 灵活扶手，上下左右前后 3 向可调节，多角度支撑肘部；</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3mm 加厚防爆底盘；</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PU 万向轮；</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位</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4.00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2</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观摩工区</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根据业主要求定制，含桌面接线盒，含PDU(按需配置)、亚克力板，侧面信息铭牌、含4个人体工学座椅</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位</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4.00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3</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工作站</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CPU：不低于 Intel 酷睿 i5 14400；</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内存：≥16GB DDR4；</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混合硬盘（SSD+HDD）：≥128GB+1TB；</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显示屏：尺寸不低于27”液晶显示器，分辨率：4K，亮度≥300cd/m2，响应时间≤8ms；</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显卡：独立显卡，显存≥8GB，HDMI 接口+ DVI 端口，支持 4K 分辨率；</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集成 10/100/1000M 以太网卡；</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集成声卡、独立音响；</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人体工学无线键盘、无线光电鼠标。</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5.00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4</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综合配线单元</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24单元</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2.00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5</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42U标准机柜</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600mmx800mmx2000mm，设备间，含底座、PDU、扎带、标签、供电线缆等</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6</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空调</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5匹柜机，含铜管(长度根据现场配置)、外机安装支架等一切安装辅材，机房一套、大厅两套。</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3.00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7</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现有空调迁移、恢复</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现有空调内外机迁移恢复，含新增铜管、外机安装支架等一切安装辅材，大厅</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8</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门禁设施及动环监测</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rPr>
                <w:rFonts w:hint="eastAsia" w:ascii="宋体" w:hAnsi="宋体" w:cs="宋体"/>
                <w:color w:val="000000"/>
                <w:sz w:val="22"/>
                <w:highlight w:val="none"/>
              </w:rPr>
            </w:pP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8.1</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门禁控制器</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联动功能：支持硬件触发及事件触发，如，门状态、卡状态、输入输出点和卡号的组合联动。</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多人多组刷卡：如 1 个班长+3 个值班员同时刷卡才允许进入。</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首卡常开功能：在设置的时间段内，第一张刷卡后保持门常开。</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防尾随：支持 APB（防尾随）功能，支持双向与跨门点的区域 APB。</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互锁功能：支持任意组合的互锁功能，任何时候仅能打开一个门。</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MAC 地址：采用真正的以太网技术，具有的 MAC 地址，永不冲突。</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B/S 管理系统： B/S 架构门禁管理软件，无需安装客户端，操作更简单。</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2.00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8.2</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读卡器（密码、指纹）</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操作系统：嵌入式 Linux 操作系统；</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屏幕参数：7 英寸触摸显示屏，屏幕比例 9:16，屏幕分辨率 600*1024；</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摄像头参数：采用宽动态 200 万双目摄像头；</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认证方式：支持刷卡（IC 卡、手机 NFC 卡、CPU 卡序列号/内容、身份证卡序列号）、密码认证方式，可外接身份证、指纹、蓝牙、二维码功能模块；</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存储容量：本地支持50000 张卡，15 万条事件记录；</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硬件接口：LAN*1、RS485*1、Wiegand * 1(支持双向)、typeC 类型 USB 接口*1、电锁*1、门磁*1、报警输入*2、报警输出*1、开门按钮*1、SD 卡槽*1（最大支持 512GB）、3.5mm音频输出接口*1；</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通信方式及网络协议：有线网络；</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使用环境：IP65，室内外环境（室外使用必须搭配遮阳罩）；</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安装方式：壁挂安装（标配挂板，适配 86 底盒）；</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工作电压： DC12V~24V/2A（含所需电源）；</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口罩检测：支持口罩检测模式，可配置提醒戴口罩模式、强制戴口罩模式，关联门禁控制；</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识别界面可配：识别主界面的“呼叫”、“二维码”、“密码”的按键图标可分别配置是否显示；</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认证结果显示可配：支持认证成功界面的“照片”、“姓名”、“工号”信息可配置是否显示；</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工作模式：支持广告模式、简洁模式主题模式</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外接安全模块：支持通过 RS485 接入门控安全模块，防止主机被恶意破坏的情况下，门锁不被打开；</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外接读卡器：支持通过 RS485 或韦根（W26/W34）接口外接 1 个读卡器，同时可实现单门反潜回功能；</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读卡器模式：支持通过 RS485 或韦根（W26/W34）接入门禁控制器，作为读卡器模式使用；</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门禁计划模板：支持 255 组计划模板管理，128 个周计划，1024 个假日计划；支持常开、常闭时段管理；</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组合认证：刷卡+密码等组合认证方式</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报警功能：设备支持防拆报警、门被外力开起报警、胁迫卡和胁迫密码报警等；</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单机使用：设备可进行本地管理，支持本地查询、设置、管理设备参数等；</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2.00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8.3</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开门按钮</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86型开门按钮</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2.00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8.4</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双门/单门磁力锁</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尺寸 253×25×48mm，DC12V 输入，抗拉力：≥280kg、含门磁状态。</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根据现场环境确定单门或双门。</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2.00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8.5</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门禁控制箱及电源</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含工业开关电源、模块箱、管材、线缆等</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2.00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8.6</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智能温湿度传感器</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温度精度±0.3℃</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8.7</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烟感探测器</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开关量报警输出</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8.8</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水浸传感器</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含漏水绳及配套终止端及胶贴</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8.9</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监控摄像机</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最高分辨率可达2560 × 1440 @25 fps</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支持SmartIR，防止夜间红外过曝</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支持背光补偿，强光抑制，3D数字降噪，数字宽动态，适应不同环境</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支持开放型网络视频接口，ISAPI，SDK，GB28181协议，支持平台接入</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1个内置麦克风</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采用高效阵列红外灯，使用寿命长，红外照射最远可达30 m</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符合IP67防尘防水设计，可靠性高</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传感器类型：1/2.7" Progressive Scan CMOS</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最低照度：彩色：0.005 Lux </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宽动态：数字宽动态</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调节角度：水平：0°~360°，垂直：0°~75°，旋转：0°~360° </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焦距&amp;视场角：2.8 mm：水平视场角：94°，垂直视场角：49°，对角视场角：114°</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9</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辅材</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为完成设备安装和调试所需的，但未在工程量清单中列出的材料和相应规格的线缆、管材、小交换机、光端机等</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项</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六、</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综合布线</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rPr>
                <w:rFonts w:hint="eastAsia" w:ascii="宋体" w:hAnsi="宋体" w:cs="宋体"/>
                <w:color w:val="000000"/>
                <w:sz w:val="22"/>
                <w:highlight w:val="none"/>
              </w:rPr>
            </w:pP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1</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防静电地板</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据实计量，全钢质支架(不小于15CM支架)，硫酸钙填充、陶瓷贴面</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平方</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130.00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2</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线缆槽/桥架</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据实计量，200mm(宽)x100mm(高)封闭式钢线槽(不锈钢或热镀锌钢)，用于强弱线线缆走线，含桥架所需托架、膨胀螺栓、紧固带、接地线，墙体开孔及恢复</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米</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60.00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3</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现有配电箱改造</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现有配电箱改造</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项</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4</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配电箱</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含所需空开、防雷器等</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5</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电缆</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YJV-5x16，机房配电箱至大屏后配电箱供电线缆、据实计量</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米</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60.00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6</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电缆</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RVV-3x6，据实计量，大屏供电、控制台供电</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米</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80.00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7</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网线</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符合Category 6 ANSI/TIA-568.2-D-2018 and ISO/IEC 11801以及YD/T1019标准。23AWG，中心十字骨架，带宽：≥250MHz，支持1000 Base-T以及1000Base-TX，1.0-100.0MHz输入阻抗（欧姆）100±6，100-250MHz输入阻抗（欧姆）100±6，外护套印有品牌、型号规格、线规、屏蔽类型、标准、长度等。</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米</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305.00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8</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理线器</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钢架+黑色喷塑，1U，封闭式盖板</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2.00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9</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六类24口网络配线架</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全钢架结构+前部黑色喷塑+其他部位电镀处理。可安装模块数量：1-24个六类非屏蔽模块。标准：YD/T 926.3，ISO/IEC11801，ANSI/TIA-568.2-D-2018。19英寸标准机架式设备。</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2.00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10</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汇聚交换机</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1、千兆光口≥24个，千兆复用电口≥4个，固化万兆SFP+光口≥4个；</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2、支持双电源冗余；交换容量≥598Gbps、包转发率≥222Mpps；</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3、支持802.1Q标准VLAN；</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4、支持QinQ；支持STP、RSTP、MSTP；</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5、支持静态聚合、动态聚合；</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6、支持IGMP Snooping；支持工业级环网协议ERPS；</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7、支持静态路由；动态路由RIP、OSPF、BGP；支持DHCP Server，DHCP Relay；</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8、支持VRRP冗余协议；</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9、支持Qos；支持DHCP Snooping；</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10、支持ACL；支持端口隔离；支持对对组播/未知单播/广播的风暴抑制；</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11、支持WEB、CLI、Telnet、SSH 2.0管理；支持SNMP网管；支持云端管理；支持网管平台统一管理</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▲12、支持网络环路检测功能，能够主动检测出交换机组网成环或者交换机自身端口接线成环，并支持破环（提供首页具有CNAS或CMA标识的第三方检测报告复印件并加盖投标人公章）；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▲13、支持自动识别接入终端的功能，可自动识别到这些类型，并能查看这些类型设备的 IP、MAC、品牌、型号、端口位置、流量信息（提供首页具有CNAS或CMA标识的第三方检测报告复印件并加盖投标人公章）；</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11</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HDMI线</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HDMI线</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米</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60.00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12</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辅材</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完成设备安装和调试所需的，但夫在工程量清单中列出的材料、设备(光端机)和相应规格的光缆、接地线缆、接线盒、8口小交换机、扎带等，以及对预埋管的试通与整改。</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项</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七、</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智慧调度系统</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rPr>
                <w:rFonts w:hint="eastAsia" w:ascii="宋体" w:hAnsi="宋体" w:cs="宋体"/>
                <w:color w:val="000000"/>
                <w:sz w:val="22"/>
                <w:highlight w:val="none"/>
              </w:rPr>
            </w:pP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1</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移动取证云台套装租用</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产品组成检查：设备由云台摄像机、主机、手控器、显示屏组成，其中主机、手控器、显示屏为车内设备，云台摄像机为车外设备。</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支持非触摸显示屏接入，支持菜单显示，支持1/4/9分屏显示预览画面。</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云台摄像机的补光灯可根据环境亮度自动开关，可根据当前视频变倍倍率自动调整远光灯和近光灯，当低于3倍变倍时开启近光灯，高于3倍变倍时开启远光灯，3倍变倍时同时开启远近灯光。（提供首页具有CNAS或CMA标识的第三方检测报告复印件并加盖投标人公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雨刮功能检查：云台摄像机具有雨刮，可覆盖2/3以上的玻璃面积。</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▲云台电机带抱闸，通电后不控制时可自动锁定。（提供首页具有CNAS或CMA标识的第三方检测报告复印件并加盖投标人公章）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支持配置天线模式为单4G、单5G、双4G或双5G，最多可接入4根拨号天线。</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支持2张1T的TF卡接入。</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具有TCP/IP、HTTP、HTTPS、SFTP、FTP、DNS、RTP、RTSP、UDP、NTP、DHCP、802.1X等网络协议设置选项。具有“GB/T 28181”及“GA/T 1400”协议的设置选项。</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支持SNMP网络管理。</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支持违章图片合成，图片合成方式、合成顺序、特写位置及图片质量可配置。支持选择合成图片的分辨率。支持区分通道分别设置合成图片的大小。支持根据选择的原始图序号进行特写放大。支持根据实际场景分别设置大车和小车的合成特写图片的放大倍数。支持匹配卡口车头和电警车尾的车牌号，合成车头和车尾的抓拍图片，并可实现违章与卡口、电警的图片合成，合成方式四合一、六合一可选。</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主机支持2块4T固态硬盘，支持硬盘自动切换，当一块硬盘损坏后，能自动切换至其它硬盘进行存储；</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可将抓拍数据、违章数据上传至2个远程主机、4个FTP服务器，并具备断网恢复后的自动续传功能，支持数据重传功能，支持上传历史数据的优先级控制功能。</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2</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单兵租用</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所租用设备需包含物联网卡及所需流量(30G/月)，租用时间5年</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3.00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3</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智慧公路综合监测平台授权</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视频应用：支持视频实时查看、录像查询、点位搜索、收藏、预案管理。支持资源搜索、收藏和聚合功能，支持视频监控资源预览、回放、状态查看、周边检索功能，支持gps定位和行程回溯。</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1、支持在全部目录和收藏夹或预案中根据输入的点位名称进行搜索。</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2、支持查看平台目录组织树及组织下的资源点位，可进行点位收藏、播放、回放。</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3、支持创建收藏夹分组；支持多层分组，各层分组支持修改、删除、分享等操作。</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4、支持创建公有预案及私有预案，新增预案时可设置预案信息，编辑预案类型及轮巡时间。</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5、支持显示视频预览、录像回放、预案播放的历史记录。</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6、具有即时回放功能。支持对即时回放画面进行抓图电子放大。具有开启/关闭音频播放设置选项；即时回放支持逐帧播放、暂停播放。</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7、支持实时视频云台控制，可以在视频播放窗口上直接控制。</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8、支持设置云台转动速度；支持调节镜头焦距、光圈。</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9、▲应提供便捷地检索（日期、通道、记录模式等）和回放（正常速度、快进、快退、慢进、慢退、单帧进和/或退、暂停、单路全屏等）的方式，可按1/8、1/4、1/2、1、2、4、8倍速回放。（提供首页具有CNAS或CMA标识的第三方检测报告复印件并加盖公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10、▲录像时间轴可缩放，在时间轴上以4种不同颜色分别显示计划录像、移动录像、手动录像、报警录像。（提供首页具有CNAS或CMA标识的第三方检测报告复印件并加盖投标人公章）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11、▲支持点位预览、回放、周边点位查询。周边距离默认100米，可拖动圆上的按钮调整距离大小。（提供首页具有CNAS或CMA标识的第三方检测报告复印件并加盖投标人公章）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设备网络管理：</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1、设备在离线状态监测：支持编码设备、存储设备、解码设备、门禁设备、岗亭缴费终端、出入口控制设备、出入口显示设备、诱导管理器、车位相机、显示屏。</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2、视频通道监测：在离线状态、录像完整性、录像保存天数。</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3、视频通道统计报表：录像完整性、录像存储达标、在线状态、离线时长。</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4、告警：设备离线，监控点离线、录像完整性和录像保存天数告警。</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即时通讯：</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一、SIP设备</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1、支持ip电话、固定电话、可视对讲机、卫星电话、传真机等设备的添加、删除、编辑、批量导入、导出；</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2、根据设备名称或SIP登录账号或通讯号码或设备类型模糊查询；</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二、通讯录管理</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1、支持在通讯录中结合用户、固定联系人、对讲设备、对讲频道、视频监控等多类资源情况，建立多个资源组：</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2、支持在通讯录中添加或取消添加常用联系人，常用联系人单独建立群组，支持快速查找；</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3、支持在通讯录中添加或取消添加常用的视频监控、对讲等设备，常用设备单独建立群组，支持快速查找；</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4、支持在通讯录中通过选择用户、固定联系人、对讲设备、对讲频道、视频监控等多类资源，建立临时沟通群组；</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5、支持在通讯录中设置常用群组，常用群组单独建立组织，支持快速查找；</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6、支持在通讯录中创建公共群组，公共群组平台所有用户可见；</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7、支持通讯录中的群组名称设置、群组收藏或取消收藏、群组解散；</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8、支持通讯录中的群组添加、删除成员，并支持群组成员退群，并成员加入、退出群组消息提示；</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9、支持通讯录中节点显示用户总数/在线数、群组节点显示总数、固定联系人节点显示固定联系人总数、SIP设备节点 </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     显示SIP设备总数/在线数、对讲设备节点显示对讲设备总数、对讲频道节点显示对讲频道总数；</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10、支持通讯录中的用户显示登录方式，如：web端、安卓手机、调度台等；</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11、支持固定联系人按组织目录结构展示；</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12、支持固定联系人按用户配置权限；</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三、音视频通话</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1、支持各类接入的具备音视频通话能力的资源，进行一对一音频通话、视频通话，或群组混合音频通话、视频通话；</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2、支持群组语音通话过程中，成员加入、退出、新增邀请成员，以及加入，退出消息通知；</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3、支持参与音视频通话的成员自主设置静音；</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4、支持群组音视频通话过程中提示当前发言人；</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5、支持在音视频通话通过中录音；</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6、支持音视频通话过程中，群主对成员的单个或全体的禁言、禁视频管理：</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7、支持音视频通话过程中，群主新踢出成员；</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8、支持音视频通话窗格全屏显示；</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四、消息</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1、支持一对一或群组间，进行文字、图片、文件、语音消息、视频消息的收发；</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2、支持沟通消息内容的转发、收藏、复制／粘贴、撤回／删除，支持消息的已读／未读查看、搜索，支持历史消息查看；</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3、支持沟通消息中，群组新进成员查看当前天窗口的历史聊天消息；</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五、拨号盘</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1、提供拨号盘，支持通过拨号对外打电话，同时对具备视频通话能力的终端，支持拨打视频电话；</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六、广播</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1、支持语音、文字广播的接收与查看；</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七、视频质量配置</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1、支持选择配置视频通话时的清晰度，如：1280×720、1920×1080；</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八、收藏</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1、支持视频、图片、文件、文本等沟通内容的收藏与查看。</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视频调度：</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一、视频调度</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1、支持接入的各类视频监控设备进行一对一或群组，音视通话/视频通话；</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二、视频回传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1、支持音视频通话中的视频点位，实时画面回传；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2、支持回传的历史录像片段的查询、播放与下载；</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项</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4</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云资源租用</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根据智慧调度系统需求租用政务云资源，5年，含平台政务云部署所需的费用</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项</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八、</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配套工作</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rPr>
                <w:rFonts w:hint="eastAsia" w:ascii="宋体" w:hAnsi="宋体" w:cs="宋体"/>
                <w:color w:val="000000"/>
                <w:sz w:val="22"/>
                <w:highlight w:val="none"/>
              </w:rPr>
            </w:pP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1</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现有拼接屏及相关业务迁移</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包括大屏和大屏支架拆卸、重新组装、调试，大屏供电、通信、控制设备等恢复，以及迁移后供电通信恢复所需要的线缆、管道等。</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项</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2</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手提式七氟丙烷灭火器</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5kg</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套</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2.00 </w:t>
            </w:r>
            <w:r>
              <w:rPr>
                <w:rFonts w:hint="eastAsia" w:ascii="宋体" w:hAnsi="宋体" w:cs="宋体"/>
                <w:color w:val="000000"/>
                <w:sz w:val="22"/>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1131"/>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3</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现有网络设施、其他设施迁移、恢复</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455"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含现有监控大厅机房内外网所涉及的所有设施(包括但不限于光缆、传输设备、网络设施等)迁移、重新安装、调试、恢复等，以及迁移后供电通信恢复所需要的线缆、管道等</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项</w:t>
            </w:r>
            <w:r>
              <w:rPr>
                <w:rFonts w:hint="eastAsia" w:ascii="宋体" w:hAnsi="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31"/>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r>
              <w:rPr>
                <w:rFonts w:hint="eastAsia" w:ascii="宋体" w:hAnsi="宋体" w:cs="宋体"/>
                <w:color w:val="000000"/>
                <w:sz w:val="22"/>
                <w:highlight w:val="none"/>
                <w:lang w:bidi="ar"/>
              </w:rPr>
            </w:r>
            <w:r/>
          </w:p>
        </w:tc>
      </w:tr>
    </w:tbl>
    <w:p>
      <w:pPr>
        <w:pStyle w:val="1131"/>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131"/>
        <w:ind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四、装修部分项目特征描述</w:t>
      </w:r>
      <w:r>
        <w:rPr>
          <w:rFonts w:hint="eastAsia" w:ascii="宋体" w:hAnsi="宋体"/>
          <w:b/>
          <w:bCs/>
          <w:color w:val="000000"/>
          <w:sz w:val="24"/>
          <w:szCs w:val="24"/>
          <w:highlight w:val="none"/>
        </w:rPr>
      </w:r>
      <w:r/>
    </w:p>
    <w:tbl>
      <w:tblPr>
        <w:tblW w:w="0" w:type="auto"/>
        <w:tblInd w:w="-15" w:type="dxa"/>
        <w:tblLayout w:type="autofit"/>
        <w:tblCellMar>
          <w:left w:w="108" w:type="dxa"/>
          <w:top w:w="0" w:type="dxa"/>
          <w:right w:w="108" w:type="dxa"/>
          <w:bottom w:w="0" w:type="dxa"/>
        </w:tblCellMar>
        <w:tblLook w:val="04A0" w:firstRow="1" w:lastRow="0" w:firstColumn="1" w:lastColumn="0" w:noHBand="0" w:noVBand="1"/>
      </w:tblPr>
      <w:tblGrid>
        <w:gridCol w:w="508"/>
        <w:gridCol w:w="1296"/>
        <w:gridCol w:w="7673"/>
      </w:tblGrid>
      <w:tr>
        <w:trPr>
          <w:trHeight w:val="600"/>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1131"/>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序号</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31"/>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项目名称</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pStyle w:val="1131"/>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项目特征描述</w:t>
            </w:r>
            <w:r>
              <w:rPr>
                <w:rFonts w:hint="eastAsia" w:ascii="宋体" w:hAnsi="宋体" w:cs="宋体"/>
                <w:b/>
                <w:bCs/>
                <w:color w:val="000000"/>
                <w:sz w:val="24"/>
                <w:szCs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入口玄关隔墙</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75系列轻钢龙骨骨架，竖向龙骨间距400mm，双面12mm厚防火石膏板，中间填充50mm厚24kg/m³岩棉；板缝嵌缝石膏+玻纤带防裂，阴阳角金属护角条加固；隔声性能STC≥50dB，附火极限1小时，含所需文字logo。</w:t>
            </w:r>
            <w:r>
              <w:rPr>
                <w:rFonts w:hint="eastAsia" w:ascii="宋体" w:hAnsi="宋体" w:cs="宋体"/>
                <w:color w:val="000000"/>
                <w:sz w:val="22"/>
                <w:highlight w:val="none"/>
              </w:rPr>
            </w:r>
            <w:r/>
          </w:p>
        </w:tc>
      </w:tr>
      <w:tr>
        <w:trPr>
          <w:trHeight w:val="1119"/>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窗户封堵</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75系列轻钢龙骨骨架，竖向龙骨间距400mm，双面12mm厚防火石膏板，中间填充50mm厚24kg/m³岩棉；板缝嵌缝石膏+玻纤带防裂，阴阳角金属护角条加固；隔声性能STC≥50dB，附火极限1小时。</w:t>
            </w:r>
            <w:r>
              <w:rPr>
                <w:rFonts w:hint="eastAsia" w:ascii="宋体" w:hAnsi="宋体" w:cs="宋体"/>
                <w:color w:val="000000"/>
                <w:sz w:val="22"/>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矿棉板吊顶</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pStyle w:val="1131"/>
              <w:jc w:val="left"/>
              <w:widowControl/>
              <w:rPr>
                <w:rFonts w:eastAsia="等线"/>
                <w:color w:val="000000"/>
                <w:sz w:val="22"/>
                <w:highlight w:val="none"/>
              </w:rPr>
            </w:pPr>
            <w:r>
              <w:rPr>
                <w:rFonts w:eastAsia="等线"/>
                <w:color w:val="000000"/>
                <w:sz w:val="22"/>
                <w:highlight w:val="none"/>
                <w:lang w:bidi="ar"/>
              </w:rPr>
              <w:t xml:space="preserve">1.</w:t>
            </w:r>
            <w:r>
              <w:rPr>
                <w:rFonts w:hint="eastAsia" w:ascii="宋体" w:hAnsi="宋体" w:cs="宋体"/>
                <w:color w:val="000000"/>
                <w:sz w:val="22"/>
                <w:highlight w:val="none"/>
                <w:lang w:bidi="ar"/>
              </w:rPr>
              <w:t xml:space="preserve">∅</w:t>
            </w:r>
            <w:r>
              <w:rPr>
                <w:rFonts w:eastAsia="等线"/>
                <w:color w:val="000000"/>
                <w:sz w:val="22"/>
                <w:highlight w:val="none"/>
                <w:lang w:bidi="ar"/>
              </w:rPr>
              <w:t xml:space="preserve">8</w:t>
            </w:r>
            <w:r>
              <w:rPr>
                <w:rFonts w:hint="eastAsia" w:ascii="宋体" w:hAnsi="宋体" w:cs="宋体"/>
                <w:color w:val="000000"/>
                <w:sz w:val="22"/>
                <w:highlight w:val="none"/>
                <w:lang w:bidi="ar"/>
              </w:rPr>
              <w:t xml:space="preserve">丝杆</w:t>
            </w:r>
            <w:r>
              <w:rPr>
                <w:rFonts w:eastAsia="等线"/>
                <w:color w:val="000000"/>
                <w:sz w:val="22"/>
                <w:highlight w:val="none"/>
                <w:lang w:bidi="ar"/>
              </w:rPr>
              <w:t xml:space="preserve"> M8</w:t>
            </w:r>
            <w:r>
              <w:rPr>
                <w:rFonts w:hint="eastAsia" w:ascii="宋体" w:hAnsi="宋体" w:cs="宋体"/>
                <w:color w:val="000000"/>
                <w:sz w:val="22"/>
                <w:highlight w:val="none"/>
                <w:lang w:bidi="ar"/>
              </w:rPr>
              <w:t xml:space="preserve">膨胀螺检固定；</w:t>
            </w:r>
            <w:r>
              <w:rPr>
                <w:rFonts w:eastAsia="等线"/>
                <w:color w:val="000000"/>
                <w:sz w:val="22"/>
                <w:highlight w:val="none"/>
                <w:lang w:bidi="ar"/>
              </w:rPr>
              <w:t xml:space="preserve">2.</w:t>
            </w:r>
            <w:r>
              <w:rPr>
                <w:rFonts w:hint="eastAsia" w:ascii="宋体" w:hAnsi="宋体" w:cs="宋体"/>
                <w:color w:val="000000"/>
                <w:sz w:val="22"/>
                <w:highlight w:val="none"/>
                <w:lang w:bidi="ar"/>
              </w:rPr>
              <w:t xml:space="preserve">简单型装配式不上人</w:t>
            </w:r>
            <w:r>
              <w:rPr>
                <w:rFonts w:eastAsia="等线"/>
                <w:color w:val="000000"/>
                <w:sz w:val="22"/>
                <w:highlight w:val="none"/>
                <w:lang w:bidi="ar"/>
              </w:rPr>
              <w:t xml:space="preserve">50</w:t>
            </w:r>
            <w:r>
              <w:rPr>
                <w:rFonts w:hint="eastAsia" w:ascii="宋体" w:hAnsi="宋体" w:cs="宋体"/>
                <w:color w:val="000000"/>
                <w:sz w:val="22"/>
                <w:highlight w:val="none"/>
                <w:lang w:bidi="ar"/>
              </w:rPr>
              <w:t xml:space="preserve">轻钢主龙骨</w:t>
            </w:r>
            <w:r>
              <w:rPr>
                <w:rFonts w:eastAsia="等线"/>
                <w:color w:val="000000"/>
                <w:sz w:val="22"/>
                <w:highlight w:val="none"/>
                <w:lang w:bidi="ar"/>
              </w:rPr>
              <w:t xml:space="preserve">@900mm</w:t>
            </w:r>
            <w:r>
              <w:rPr>
                <w:rFonts w:hint="eastAsia" w:ascii="宋体" w:hAnsi="宋体" w:cs="宋体"/>
                <w:color w:val="000000"/>
                <w:sz w:val="22"/>
                <w:highlight w:val="none"/>
                <w:lang w:bidi="ar"/>
              </w:rPr>
              <w:t xml:space="preserve">，</w:t>
            </w:r>
            <w:r>
              <w:rPr>
                <w:rFonts w:eastAsia="等线"/>
                <w:color w:val="000000"/>
                <w:sz w:val="22"/>
                <w:highlight w:val="none"/>
                <w:lang w:bidi="ar"/>
              </w:rPr>
              <w:t xml:space="preserve">50</w:t>
            </w:r>
            <w:r>
              <w:rPr>
                <w:rFonts w:hint="eastAsia" w:ascii="宋体" w:hAnsi="宋体" w:cs="宋体"/>
                <w:color w:val="000000"/>
                <w:sz w:val="22"/>
                <w:highlight w:val="none"/>
                <w:lang w:bidi="ar"/>
              </w:rPr>
              <w:t xml:space="preserve">轻钢副龙骨；</w:t>
            </w:r>
            <w:r>
              <w:rPr>
                <w:rFonts w:eastAsia="等线"/>
                <w:color w:val="000000"/>
                <w:sz w:val="22"/>
                <w:highlight w:val="none"/>
                <w:lang w:bidi="ar"/>
              </w:rPr>
              <w:t xml:space="preserve">3.800x800</w:t>
            </w:r>
            <w:r>
              <w:rPr>
                <w:rFonts w:hint="eastAsia" w:ascii="宋体" w:hAnsi="宋体" w:cs="宋体"/>
                <w:color w:val="000000"/>
                <w:sz w:val="22"/>
                <w:highlight w:val="none"/>
                <w:lang w:bidi="ar"/>
              </w:rPr>
              <w:t xml:space="preserve">矿棉板吊顶</w:t>
            </w:r>
            <w:r>
              <w:rPr>
                <w:rFonts w:eastAsia="等线"/>
                <w:color w:val="000000"/>
                <w:sz w:val="22"/>
                <w:highlight w:val="none"/>
                <w:lang w:bidi="ar"/>
              </w:rPr>
              <w:t xml:space="preserve">(</w:t>
            </w:r>
            <w:r>
              <w:rPr>
                <w:rFonts w:hint="eastAsia" w:ascii="宋体" w:hAnsi="宋体" w:cs="宋体"/>
                <w:color w:val="000000"/>
                <w:sz w:val="22"/>
                <w:highlight w:val="none"/>
                <w:lang w:bidi="ar"/>
              </w:rPr>
              <w:t xml:space="preserve">专业配套龙骨</w:t>
            </w:r>
            <w:r>
              <w:rPr>
                <w:rFonts w:eastAsia="等线"/>
                <w:color w:val="000000"/>
                <w:sz w:val="22"/>
                <w:highlight w:val="none"/>
                <w:lang w:bidi="ar"/>
              </w:rPr>
              <w:t xml:space="preserve">)</w:t>
            </w:r>
            <w:r>
              <w:rPr>
                <w:rFonts w:hint="eastAsia" w:ascii="宋体" w:hAnsi="宋体" w:cs="宋体"/>
                <w:color w:val="000000"/>
                <w:sz w:val="22"/>
                <w:highlight w:val="none"/>
                <w:lang w:bidi="ar"/>
              </w:rPr>
              <w:t xml:space="preserve">；</w:t>
            </w:r>
            <w:r>
              <w:rPr>
                <w:rFonts w:eastAsia="等线"/>
                <w:color w:val="000000"/>
                <w:sz w:val="22"/>
                <w:highlight w:val="none"/>
                <w:lang w:bidi="ar"/>
              </w:rPr>
              <w:t xml:space="preserve">4.</w:t>
            </w:r>
            <w:r>
              <w:rPr>
                <w:rFonts w:hint="eastAsia" w:ascii="宋体" w:hAnsi="宋体" w:cs="宋体"/>
                <w:color w:val="000000"/>
                <w:sz w:val="22"/>
                <w:highlight w:val="none"/>
                <w:lang w:bidi="ar"/>
              </w:rPr>
              <w:t xml:space="preserve">具体施工方法、工艺、尺寸、规格、损耗、辅材、质量要求详图纸、相关规范</w:t>
            </w:r>
            <w:r>
              <w:rPr>
                <w:rFonts w:eastAsia="等线"/>
                <w:color w:val="000000"/>
                <w:sz w:val="22"/>
                <w:highlight w:val="none"/>
                <w:lang w:bidi="ar"/>
              </w:rPr>
              <w:t xml:space="preserve">/</w:t>
            </w:r>
            <w:r>
              <w:rPr>
                <w:rFonts w:hint="eastAsia" w:ascii="宋体" w:hAnsi="宋体" w:cs="宋体"/>
                <w:color w:val="000000"/>
                <w:sz w:val="22"/>
                <w:highlight w:val="none"/>
                <w:lang w:bidi="ar"/>
              </w:rPr>
              <w:t xml:space="preserve">标准、质量验收标准。</w:t>
            </w:r>
            <w:r>
              <w:rPr>
                <w:rFonts w:eastAsia="等线"/>
                <w:color w:val="000000"/>
                <w:sz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石膏板吊顶</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轻钢龙骨石膏板吊顶</w:t>
            </w:r>
            <w:r>
              <w:rPr>
                <w:rFonts w:hint="eastAsia" w:ascii="宋体" w:hAnsi="宋体" w:cs="宋体"/>
                <w:color w:val="000000"/>
                <w:sz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玄关造型蓝色硬包</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蓝色布艺硬包含logo</w:t>
            </w:r>
            <w:r>
              <w:rPr>
                <w:rFonts w:hint="eastAsia" w:ascii="宋体" w:hAnsi="宋体" w:cs="宋体"/>
                <w:color w:val="000000"/>
                <w:sz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平面砂浆找平层</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40mm水泥砂浆找平，刷防尘漆</w:t>
            </w:r>
            <w:r>
              <w:rPr>
                <w:rFonts w:hint="eastAsia" w:ascii="宋体" w:hAnsi="宋体" w:cs="宋体"/>
                <w:color w:val="000000"/>
                <w:sz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墙面深灰色不锈钢包边</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1.5mm防指纹拉丝不锈钢，h=150</w:t>
            </w:r>
            <w:r>
              <w:rPr>
                <w:rFonts w:hint="eastAsia" w:ascii="宋体" w:hAnsi="宋体" w:cs="宋体"/>
                <w:color w:val="000000"/>
                <w:sz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LED大屏边框深灰色不锈钢饰面</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1.5mm防指纹拉丝不锈钢</w:t>
            </w:r>
            <w:r>
              <w:rPr>
                <w:rFonts w:hint="eastAsia" w:ascii="宋体" w:hAnsi="宋体" w:cs="宋体"/>
                <w:color w:val="000000"/>
                <w:sz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墙面浅色烤漆铝板</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镀锌钢骨架基层，3mm铝板烤浅色防火涂料</w:t>
            </w:r>
            <w:r>
              <w:rPr>
                <w:rFonts w:hint="eastAsia" w:ascii="宋体" w:hAnsi="宋体" w:cs="宋体"/>
                <w:color w:val="000000"/>
                <w:sz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墙面涂料</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机房内墙面及大厅涂料</w:t>
            </w:r>
            <w:r>
              <w:rPr>
                <w:rFonts w:hint="eastAsia" w:ascii="宋体" w:hAnsi="宋体" w:cs="宋体"/>
                <w:color w:val="000000"/>
                <w:sz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窗台板</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1.粘结层厚度、砂浆配合比1:12厚水泥砂浆结合层；2.窗合板材质、规格、颜色:20mm厚白色人造石窗台板ST-03；3.含5mm工艺缝打胶，云石胶粘石材下挂、石材倒角磨边等所有加工费全部包含在内</w:t>
            </w:r>
            <w:r>
              <w:rPr>
                <w:rFonts w:hint="eastAsia" w:ascii="宋体" w:hAnsi="宋体" w:cs="宋体"/>
                <w:color w:val="000000"/>
                <w:sz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防火双开木门</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1.木饰面双开门M01,门洞1470x2450；2.配套成品木饰面门套；3.拉丝不锈钢执手、不锈钢合页3个、不锈钢门吸1个；4.具体做法详见图纸。</w:t>
            </w:r>
            <w:r>
              <w:rPr>
                <w:rFonts w:hint="eastAsia" w:ascii="宋体" w:hAnsi="宋体" w:cs="宋体"/>
                <w:color w:val="000000"/>
                <w:sz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墙体改造及粉刷</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含所需砖、水泥、乳胶漆等</w:t>
            </w:r>
            <w:r>
              <w:rPr>
                <w:rFonts w:hint="eastAsia" w:ascii="宋体" w:hAnsi="宋体" w:cs="宋体"/>
                <w:color w:val="000000"/>
                <w:sz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14</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机房隐形门</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铝板烤漆隐形门</w:t>
            </w:r>
            <w:r>
              <w:rPr>
                <w:rFonts w:hint="eastAsia" w:ascii="宋体" w:hAnsi="宋体" w:cs="宋体"/>
                <w:color w:val="000000"/>
                <w:sz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15</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强弱电改造</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含墙体切槽、所需的管道或桥架、强弱电插座、强弱电线缆等一切辅材(中标单位二次细化)</w:t>
            </w:r>
            <w:r>
              <w:rPr>
                <w:rFonts w:hint="eastAsia" w:ascii="宋体" w:hAnsi="宋体" w:cs="宋体"/>
                <w:color w:val="000000"/>
                <w:sz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16</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室内装修及安装拆除</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原有吊顶、墙面装饰、门体及地面地砖、地毯、中央空调、舞台等室内整体拆除，搬运</w:t>
            </w:r>
            <w:r>
              <w:rPr>
                <w:rFonts w:hint="eastAsia" w:ascii="宋体" w:hAnsi="宋体" w:cs="宋体"/>
                <w:color w:val="000000"/>
                <w:sz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17</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平板灯</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大厅平板灯</w:t>
            </w:r>
            <w:r>
              <w:rPr>
                <w:rFonts w:hint="eastAsia" w:ascii="宋体" w:hAnsi="宋体" w:cs="宋体"/>
                <w:color w:val="000000"/>
                <w:sz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18</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筒灯</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玄关筒灯</w:t>
            </w:r>
            <w:r>
              <w:rPr>
                <w:rFonts w:hint="eastAsia" w:ascii="宋体" w:hAnsi="宋体" w:cs="宋体"/>
                <w:color w:val="000000"/>
                <w:sz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19</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吸顶灯</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仓库吸顶灯</w:t>
            </w:r>
            <w:r>
              <w:rPr>
                <w:rFonts w:hint="eastAsia" w:ascii="宋体" w:hAnsi="宋体" w:cs="宋体"/>
                <w:color w:val="000000"/>
                <w:sz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开关面板</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吸顶灯、平板灯及筒灯开关面板，含面板底盒</w:t>
            </w:r>
            <w:r>
              <w:rPr>
                <w:rFonts w:hint="eastAsia" w:ascii="宋体" w:hAnsi="宋体" w:cs="宋体"/>
                <w:color w:val="000000"/>
                <w:sz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插座面板</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插座面板，按需配置，根据功率及设备位置配置，含面板底盒</w:t>
            </w:r>
            <w:r>
              <w:rPr>
                <w:rFonts w:hint="eastAsia" w:ascii="宋体" w:hAnsi="宋体" w:cs="宋体"/>
                <w:color w:val="000000"/>
                <w:sz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窗帘、沙发等出新</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原有窗帘、沙发出新</w:t>
            </w:r>
            <w:r>
              <w:rPr>
                <w:rFonts w:hint="eastAsia" w:ascii="宋体" w:hAnsi="宋体" w:cs="宋体"/>
                <w:color w:val="000000"/>
                <w:sz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23</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防水处理</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屋顶、幕墙防水</w:t>
            </w:r>
            <w:r>
              <w:rPr>
                <w:rFonts w:hint="eastAsia" w:ascii="宋体" w:hAnsi="宋体" w:cs="宋体"/>
                <w:color w:val="000000"/>
                <w:sz w:val="22"/>
                <w:highlight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24</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双层灰色阻燃防火窗帘</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pStyle w:val="1131"/>
              <w:jc w:val="left"/>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应具备防污、防霉、防油渍、耐脏、易清洗、不易藏污垢、抗变形处理、抗静电等特性。安装时要求接地，且绝缘性能要达到一定的要求。考虑结构的稳定性，以及在火灾突发时能够及时进行正常的卷起动作，而且要保证卷帘的牢固性。本面积为平面投影面积，需增加褶皱余量。根据现场调整，含所需滑槽等辅材。</w:t>
            </w:r>
            <w:r>
              <w:rPr>
                <w:rFonts w:hint="eastAsia" w:ascii="宋体" w:hAnsi="宋体" w:cs="宋体"/>
                <w:color w:val="000000"/>
                <w:sz w:val="22"/>
                <w:highlight w:val="none"/>
              </w:rPr>
            </w:r>
            <w:r/>
          </w:p>
        </w:tc>
      </w:tr>
    </w:tbl>
    <w:p>
      <w:pPr>
        <w:pStyle w:val="1143"/>
        <w:ind w:firstLine="0"/>
        <w:rPr>
          <w:rFonts w:hint="eastAsia"/>
          <w:color w:val="000000"/>
          <w:highlight w:val="none"/>
        </w:rPr>
      </w:pPr>
      <w:r>
        <w:rPr>
          <w:rFonts w:hint="eastAsia"/>
          <w:color w:val="000000"/>
          <w:highlight w:val="none"/>
        </w:rPr>
      </w:r>
      <w:r/>
    </w:p>
    <w:p>
      <w:pPr>
        <w:pStyle w:val="1131"/>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1131"/>
        <w:ind w:firstLine="482"/>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五、质量要求</w:t>
      </w:r>
      <w:r>
        <w:rPr>
          <w:rFonts w:ascii="宋体" w:hAnsi="宋体"/>
          <w:b/>
          <w:bCs/>
          <w:color w:val="000000"/>
          <w:sz w:val="24"/>
          <w:szCs w:val="24"/>
          <w:highlight w:val="none"/>
        </w:rPr>
      </w:r>
      <w:r/>
    </w:p>
    <w:p>
      <w:pPr>
        <w:pStyle w:val="113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合格。</w:t>
      </w:r>
      <w:r>
        <w:rPr>
          <w:rFonts w:ascii="宋体" w:hAnsi="宋体"/>
          <w:color w:val="000000"/>
          <w:sz w:val="24"/>
          <w:szCs w:val="24"/>
          <w:highlight w:val="none"/>
        </w:rPr>
      </w:r>
      <w:r/>
    </w:p>
    <w:p>
      <w:pPr>
        <w:pStyle w:val="1131"/>
        <w:ind w:firstLine="482"/>
        <w:spacing w:line="360" w:lineRule="auto"/>
        <w:rPr>
          <w:rFonts w:ascii="宋体" w:hAnsi="宋体"/>
          <w:color w:val="000000"/>
          <w:sz w:val="24"/>
          <w:szCs w:val="24"/>
          <w:highlight w:val="none"/>
        </w:rPr>
      </w:pPr>
      <w:r>
        <w:rPr>
          <w:rFonts w:hint="eastAsia" w:ascii="宋体" w:hAnsi="宋体"/>
          <w:b/>
          <w:bCs/>
          <w:color w:val="000000"/>
          <w:sz w:val="24"/>
          <w:szCs w:val="24"/>
          <w:highlight w:val="none"/>
        </w:rPr>
        <w:t xml:space="preserve">六</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工期</w:t>
      </w:r>
      <w:r>
        <w:rPr>
          <w:rFonts w:ascii="宋体" w:hAnsi="宋体"/>
          <w:color w:val="000000"/>
          <w:sz w:val="24"/>
          <w:szCs w:val="24"/>
          <w:highlight w:val="none"/>
        </w:rPr>
      </w:r>
      <w:r/>
    </w:p>
    <w:p>
      <w:pPr>
        <w:pStyle w:val="113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45日历天</w:t>
      </w:r>
      <w:r>
        <w:rPr>
          <w:rFonts w:hint="eastAsia" w:ascii="宋体" w:hAnsi="宋体"/>
          <w:color w:val="000000"/>
          <w:sz w:val="24"/>
          <w:szCs w:val="24"/>
          <w:highlight w:val="none"/>
        </w:rPr>
        <w:t xml:space="preserve">，免费维保期</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年</w:t>
      </w:r>
      <w:r>
        <w:rPr>
          <w:rFonts w:ascii="宋体" w:hAnsi="宋体"/>
          <w:color w:val="000000"/>
          <w:sz w:val="24"/>
          <w:szCs w:val="24"/>
          <w:highlight w:val="none"/>
        </w:rPr>
        <w:t xml:space="preserve">。</w:t>
      </w:r>
      <w:r>
        <w:rPr>
          <w:rFonts w:ascii="宋体" w:hAnsi="宋体"/>
          <w:color w:val="000000"/>
          <w:sz w:val="24"/>
          <w:szCs w:val="24"/>
          <w:highlight w:val="none"/>
        </w:rPr>
      </w:r>
      <w:r/>
    </w:p>
    <w:p>
      <w:pPr>
        <w:pStyle w:val="1131"/>
        <w:ind w:firstLine="480"/>
        <w:spacing w:line="360" w:lineRule="auto"/>
        <w:rPr>
          <w:rFonts w:ascii="宋体" w:hAnsi="宋体"/>
          <w:color w:val="000000"/>
          <w:sz w:val="24"/>
          <w:szCs w:val="24"/>
          <w:highlight w:val="none"/>
        </w:rPr>
      </w:pPr>
      <w:r>
        <w:rPr>
          <w:rFonts w:hint="eastAsia" w:ascii="宋体" w:hAnsi="宋体"/>
          <w:b/>
          <w:bCs/>
          <w:color w:val="000000"/>
          <w:sz w:val="24"/>
          <w:szCs w:val="24"/>
          <w:highlight w:val="none"/>
        </w:rPr>
        <w:t xml:space="preserve">七、付款方式</w:t>
      </w:r>
      <w:r>
        <w:rPr>
          <w:rFonts w:ascii="宋体" w:hAnsi="宋体"/>
          <w:color w:val="000000"/>
          <w:sz w:val="24"/>
          <w:szCs w:val="24"/>
          <w:highlight w:val="none"/>
        </w:rPr>
      </w:r>
      <w:r/>
    </w:p>
    <w:p>
      <w:pPr>
        <w:pStyle w:val="1131"/>
        <w:ind w:firstLine="480"/>
        <w:spacing w:line="360"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合同签订且收到乙方开具的发票后10个工作日内支付签约合同价的30%作为预付款，货到安装验收合格后内支付至签约合同价的的70%，余款在维保期满后付清。</w:t>
      </w:r>
      <w:r>
        <w:rPr>
          <w:rFonts w:hint="eastAsia" w:ascii="宋体" w:hAnsi="宋体" w:cs="宋体"/>
          <w:iCs/>
          <w:color w:val="000000"/>
          <w:sz w:val="24"/>
          <w:szCs w:val="24"/>
          <w:highlight w:val="none"/>
        </w:rPr>
      </w:r>
      <w:r/>
    </w:p>
    <w:p>
      <w:pPr>
        <w:pStyle w:val="1131"/>
        <w:ind w:firstLine="480"/>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八、报价要求</w:t>
      </w:r>
      <w:r>
        <w:rPr>
          <w:rFonts w:hint="eastAsia" w:ascii="宋体" w:hAnsi="宋体"/>
          <w:b/>
          <w:bCs/>
          <w:color w:val="000000"/>
          <w:sz w:val="24"/>
          <w:szCs w:val="24"/>
          <w:highlight w:val="none"/>
        </w:rPr>
      </w:r>
      <w:r/>
    </w:p>
    <w:p>
      <w:pPr>
        <w:pStyle w:val="1131"/>
        <w:ind w:firstLine="480"/>
        <w:spacing w:line="360"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1、投标人报价包含2025年镇江市丹徒区公路事业发展中心路网指挥中心改造项目所有设备实施交付费用；</w:t>
      </w:r>
      <w:r>
        <w:rPr>
          <w:rFonts w:hint="eastAsia" w:ascii="宋体" w:hAnsi="宋体" w:cs="宋体"/>
          <w:iCs/>
          <w:color w:val="000000"/>
          <w:sz w:val="24"/>
          <w:szCs w:val="24"/>
          <w:highlight w:val="none"/>
        </w:rPr>
      </w:r>
      <w:r/>
    </w:p>
    <w:p>
      <w:pPr>
        <w:pStyle w:val="1131"/>
        <w:ind w:firstLine="480"/>
        <w:spacing w:line="360"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2、投标人设备报价包含设备施工交付过程中所需所有辅材及配套材料费用。对于招标文件工程量清单中未单独列出，但确为工程所需的辅材等，应视为承包人为完成本工程所必须提供的，其费用应已包含在合同清单中，一律不予追加费用； </w:t>
      </w:r>
      <w:r>
        <w:rPr>
          <w:rFonts w:hint="eastAsia" w:ascii="宋体" w:hAnsi="宋体" w:cs="宋体"/>
          <w:iCs/>
          <w:color w:val="000000"/>
          <w:sz w:val="24"/>
          <w:szCs w:val="24"/>
          <w:highlight w:val="none"/>
        </w:rPr>
      </w:r>
      <w:r/>
    </w:p>
    <w:p>
      <w:pPr>
        <w:pStyle w:val="1131"/>
        <w:ind w:firstLine="480"/>
        <w:spacing w:line="360"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3、投标人应在投标文件中载明各类主要设备、材料的品牌、型号及生产厂家，在合同执行过程中不得自行调整。对于因设备停产引起的设备型号调整，应采用同一厂家的升级产品，发包人有权根据升级产品的市场价格对设备单价进行调整，但调整后的设备单价最高不突破原合同单价；</w:t>
      </w:r>
      <w:r>
        <w:rPr>
          <w:rFonts w:hint="eastAsia" w:ascii="宋体" w:hAnsi="宋体" w:cs="宋体"/>
          <w:iCs/>
          <w:color w:val="000000"/>
          <w:sz w:val="24"/>
          <w:szCs w:val="24"/>
          <w:highlight w:val="none"/>
        </w:rPr>
      </w:r>
      <w:r/>
    </w:p>
    <w:p>
      <w:pPr>
        <w:pStyle w:val="1131"/>
        <w:ind w:firstLine="480"/>
        <w:spacing w:line="360"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4、建筑材料堆放必须符合业主的要求，所有建筑垃圾（含拆除的垃圾）必须按业主的要求及时清理及外运（抛弃点自行考虑），现场环境卫生必须满足业主的相关规定，此部分不单独计量，报价时需计入相应单价和总价中。</w:t>
      </w:r>
      <w:r>
        <w:rPr>
          <w:rFonts w:hint="eastAsia" w:ascii="宋体" w:hAnsi="宋体" w:cs="宋体"/>
          <w:iCs/>
          <w:color w:val="000000"/>
          <w:sz w:val="24"/>
          <w:szCs w:val="24"/>
          <w:highlight w:val="none"/>
        </w:rPr>
      </w:r>
      <w:r/>
    </w:p>
    <w:p>
      <w:pPr>
        <w:pStyle w:val="1131"/>
        <w:ind w:firstLine="480"/>
        <w:spacing w:line="360" w:lineRule="auto"/>
        <w:rPr>
          <w:rFonts w:ascii="宋体" w:hAnsi="宋体" w:cs="宋体"/>
          <w:iCs/>
          <w:color w:val="000000"/>
          <w:sz w:val="24"/>
          <w:szCs w:val="24"/>
          <w:highlight w:val="none"/>
        </w:rPr>
        <w:sectPr>
          <w:headerReference w:type="default" r:id="rId14"/>
          <w:headerReference w:type="first" r:id="rId15"/>
          <w:footnotePr/>
          <w:endnotePr/>
          <w:type w:val="nextPage"/>
          <w:pgSz w:w="11905" w:h="16838" w:orient="portrait"/>
          <w:pgMar w:top="1134" w:right="1134" w:bottom="1134" w:left="1417" w:header="850" w:footer="850" w:gutter="0"/>
          <w:cols w:num="1" w:sep="0" w:space="1701" w:equalWidth="1"/>
          <w:docGrid w:linePitch="360"/>
        </w:sectPr>
      </w:pPr>
      <w:r>
        <w:rPr>
          <w:rFonts w:ascii="宋体" w:hAnsi="宋体" w:cs="宋体"/>
          <w:iCs/>
          <w:color w:val="000000"/>
          <w:sz w:val="24"/>
          <w:szCs w:val="24"/>
          <w:highlight w:val="none"/>
        </w:rPr>
      </w:r>
      <w:r/>
    </w:p>
    <w:p>
      <w:pPr>
        <w:pStyle w:val="1331"/>
        <w:jc w:val="center"/>
        <w:spacing w:line="360" w:lineRule="auto"/>
        <w:rPr>
          <w:rFonts w:ascii="楷体" w:hAnsi="楷体" w:eastAsia="楷体"/>
          <w:bCs/>
          <w:color w:val="000000"/>
          <w:sz w:val="36"/>
          <w:highlight w:val="none"/>
        </w:rPr>
      </w:pPr>
      <w:r/>
      <w:bookmarkStart w:id="142" w:name="_Toc32658"/>
      <w:r>
        <w:rPr>
          <w:rFonts w:hint="eastAsia" w:ascii="宋体" w:hAnsi="宋体" w:eastAsia="宋体"/>
          <w:b/>
          <w:color w:val="000000"/>
          <w:sz w:val="36"/>
          <w:szCs w:val="36"/>
          <w:highlight w:val="none"/>
        </w:rPr>
        <w:t xml:space="preserve">第五部分  评标办法和标准</w:t>
      </w:r>
      <w:bookmarkEnd w:id="142"/>
      <w:r>
        <w:rPr>
          <w:rFonts w:ascii="楷体" w:hAnsi="楷体" w:eastAsia="楷体"/>
          <w:bCs/>
          <w:color w:val="000000"/>
          <w:sz w:val="36"/>
          <w:highlight w:val="none"/>
        </w:rPr>
      </w:r>
      <w:r/>
    </w:p>
    <w:p>
      <w:pPr>
        <w:pStyle w:val="1337"/>
        <w:ind w:firstLine="446"/>
        <w:keepLines w:val="0"/>
        <w:keepNext w:val="0"/>
        <w:spacing w:before="200" w:after="200" w:line="360" w:lineRule="auto"/>
        <w:rPr>
          <w:color w:val="000000"/>
          <w:sz w:val="24"/>
          <w:szCs w:val="24"/>
          <w:highlight w:val="none"/>
        </w:rPr>
      </w:pPr>
      <w:r/>
      <w:bookmarkStart w:id="143" w:name="_Toc76632919"/>
      <w:r/>
      <w:bookmarkStart w:id="144" w:name="_Toc256000055"/>
      <w:r>
        <w:rPr>
          <w:rFonts w:hint="eastAsia"/>
          <w:color w:val="000000"/>
          <w:sz w:val="24"/>
          <w:szCs w:val="24"/>
          <w:highlight w:val="none"/>
        </w:rPr>
        <w:t xml:space="preserve">1．招标组织方职责</w:t>
      </w:r>
      <w:bookmarkEnd w:id="143"/>
      <w:r/>
      <w:bookmarkEnd w:id="144"/>
      <w:r>
        <w:rPr>
          <w:color w:val="000000"/>
          <w:sz w:val="24"/>
          <w:szCs w:val="24"/>
          <w:highlight w:val="none"/>
        </w:rPr>
      </w:r>
      <w:r/>
    </w:p>
    <w:p>
      <w:pPr>
        <w:pStyle w:val="1339"/>
        <w:ind w:firstLine="480"/>
        <w:spacing w:line="360" w:lineRule="auto"/>
        <w:rPr>
          <w:color w:val="000000"/>
          <w:sz w:val="24"/>
          <w:szCs w:val="24"/>
          <w:highlight w:val="none"/>
        </w:rPr>
      </w:pPr>
      <w:r>
        <w:rPr>
          <w:rFonts w:hint="eastAsia"/>
          <w:color w:val="000000"/>
          <w:sz w:val="24"/>
          <w:szCs w:val="24"/>
          <w:highlight w:val="none"/>
        </w:rPr>
        <w:t xml:space="preserve">1.1招标组织方负责组织评标工作，并履行下列职责：</w:t>
      </w:r>
      <w:r>
        <w:rPr>
          <w:color w:val="000000"/>
          <w:sz w:val="24"/>
          <w:szCs w:val="24"/>
          <w:highlight w:val="none"/>
        </w:rPr>
      </w:r>
      <w:r/>
    </w:p>
    <w:p>
      <w:pPr>
        <w:pStyle w:val="1339"/>
        <w:ind w:firstLine="360"/>
        <w:spacing w:line="360" w:lineRule="auto"/>
        <w:rPr>
          <w:color w:val="000000"/>
          <w:sz w:val="24"/>
          <w:szCs w:val="24"/>
          <w:highlight w:val="none"/>
        </w:rPr>
      </w:pPr>
      <w:r>
        <w:rPr>
          <w:rFonts w:hint="eastAsia"/>
          <w:color w:val="000000"/>
          <w:sz w:val="24"/>
          <w:szCs w:val="24"/>
          <w:highlight w:val="none"/>
        </w:rPr>
        <w:t xml:space="preserve">（1）核对评审专家身份和采购人代表授权函，对评审专家在政府采购活动中的职责履行情况予以记录，并及时将有关违法违规行为向财政部门报告；</w:t>
      </w:r>
      <w:r>
        <w:rPr>
          <w:color w:val="000000"/>
          <w:sz w:val="24"/>
          <w:szCs w:val="24"/>
          <w:highlight w:val="none"/>
        </w:rPr>
      </w:r>
      <w:r/>
    </w:p>
    <w:p>
      <w:pPr>
        <w:pStyle w:val="1339"/>
        <w:ind w:firstLine="360"/>
        <w:spacing w:line="360" w:lineRule="auto"/>
        <w:rPr>
          <w:color w:val="000000"/>
          <w:sz w:val="24"/>
          <w:szCs w:val="24"/>
          <w:highlight w:val="none"/>
        </w:rPr>
      </w:pPr>
      <w:r>
        <w:rPr>
          <w:rFonts w:hint="eastAsia"/>
          <w:color w:val="000000"/>
          <w:sz w:val="24"/>
          <w:szCs w:val="24"/>
          <w:highlight w:val="none"/>
        </w:rPr>
        <w:t xml:space="preserve">（2）宣布评标纪律；</w:t>
      </w:r>
      <w:r>
        <w:rPr>
          <w:color w:val="000000"/>
          <w:sz w:val="24"/>
          <w:szCs w:val="24"/>
          <w:highlight w:val="none"/>
        </w:rPr>
      </w:r>
      <w:r/>
    </w:p>
    <w:p>
      <w:pPr>
        <w:pStyle w:val="1339"/>
        <w:ind w:firstLine="360"/>
        <w:spacing w:line="360" w:lineRule="auto"/>
        <w:rPr>
          <w:color w:val="000000"/>
          <w:sz w:val="24"/>
          <w:szCs w:val="24"/>
          <w:highlight w:val="none"/>
        </w:rPr>
      </w:pPr>
      <w:r>
        <w:rPr>
          <w:rFonts w:hint="eastAsia"/>
          <w:color w:val="000000"/>
          <w:sz w:val="24"/>
          <w:szCs w:val="24"/>
          <w:highlight w:val="none"/>
        </w:rPr>
        <w:t xml:space="preserve">（3）公布投标人名单，告知评审专家应当回避的情形；</w:t>
      </w:r>
      <w:r>
        <w:rPr>
          <w:color w:val="000000"/>
          <w:sz w:val="24"/>
          <w:szCs w:val="24"/>
          <w:highlight w:val="none"/>
        </w:rPr>
      </w:r>
      <w:r/>
    </w:p>
    <w:p>
      <w:pPr>
        <w:pStyle w:val="1339"/>
        <w:ind w:firstLine="360"/>
        <w:spacing w:line="360" w:lineRule="auto"/>
        <w:rPr>
          <w:color w:val="000000"/>
          <w:sz w:val="24"/>
          <w:szCs w:val="24"/>
          <w:highlight w:val="none"/>
        </w:rPr>
      </w:pPr>
      <w:r>
        <w:rPr>
          <w:rFonts w:hint="eastAsia"/>
          <w:color w:val="000000"/>
          <w:sz w:val="24"/>
          <w:szCs w:val="24"/>
          <w:highlight w:val="none"/>
        </w:rPr>
        <w:t xml:space="preserve">（4）组织评标委员会推选评标组长，采购人代表不得担任组长；</w:t>
      </w:r>
      <w:r>
        <w:rPr>
          <w:color w:val="000000"/>
          <w:sz w:val="24"/>
          <w:szCs w:val="24"/>
          <w:highlight w:val="none"/>
        </w:rPr>
      </w:r>
      <w:r/>
    </w:p>
    <w:p>
      <w:pPr>
        <w:pStyle w:val="1339"/>
        <w:ind w:firstLine="360"/>
        <w:spacing w:line="360" w:lineRule="auto"/>
        <w:rPr>
          <w:color w:val="000000"/>
          <w:sz w:val="24"/>
          <w:szCs w:val="24"/>
          <w:highlight w:val="none"/>
        </w:rPr>
      </w:pPr>
      <w:r>
        <w:rPr>
          <w:rFonts w:hint="eastAsia"/>
          <w:color w:val="000000"/>
          <w:sz w:val="24"/>
          <w:szCs w:val="24"/>
          <w:highlight w:val="none"/>
        </w:rPr>
        <w:t xml:space="preserve">（5）在评标期间采取必要的通讯管理措施，保证评标活动不受外界干扰；</w:t>
      </w:r>
      <w:r>
        <w:rPr>
          <w:color w:val="000000"/>
          <w:sz w:val="24"/>
          <w:szCs w:val="24"/>
          <w:highlight w:val="none"/>
        </w:rPr>
      </w:r>
      <w:r/>
    </w:p>
    <w:p>
      <w:pPr>
        <w:pStyle w:val="1339"/>
        <w:ind w:firstLine="360"/>
        <w:spacing w:line="360" w:lineRule="auto"/>
        <w:rPr>
          <w:color w:val="000000"/>
          <w:sz w:val="24"/>
          <w:szCs w:val="24"/>
          <w:highlight w:val="none"/>
        </w:rPr>
      </w:pPr>
      <w:r>
        <w:rPr>
          <w:rFonts w:hint="eastAsia"/>
          <w:color w:val="000000"/>
          <w:sz w:val="24"/>
          <w:szCs w:val="24"/>
          <w:highlight w:val="none"/>
        </w:rPr>
        <w:t xml:space="preserve">（6）根据评标委员会的要求介绍政府采购相关政策法规、招标文件；</w:t>
      </w:r>
      <w:r>
        <w:rPr>
          <w:color w:val="000000"/>
          <w:sz w:val="24"/>
          <w:szCs w:val="24"/>
          <w:highlight w:val="none"/>
        </w:rPr>
      </w:r>
      <w:r/>
    </w:p>
    <w:p>
      <w:pPr>
        <w:pStyle w:val="1339"/>
        <w:ind w:firstLine="360"/>
        <w:spacing w:line="360" w:lineRule="auto"/>
        <w:rPr>
          <w:color w:val="000000"/>
          <w:sz w:val="24"/>
          <w:szCs w:val="24"/>
          <w:highlight w:val="none"/>
        </w:rPr>
      </w:pPr>
      <w:r>
        <w:rPr>
          <w:rFonts w:hint="eastAsia"/>
          <w:color w:val="000000"/>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rPr>
          <w:color w:val="000000"/>
          <w:sz w:val="24"/>
          <w:szCs w:val="24"/>
          <w:highlight w:val="none"/>
        </w:rPr>
      </w:r>
      <w:r/>
    </w:p>
    <w:p>
      <w:pPr>
        <w:pStyle w:val="1339"/>
        <w:ind w:firstLine="360"/>
        <w:spacing w:line="360" w:lineRule="auto"/>
        <w:rPr>
          <w:color w:val="000000"/>
          <w:sz w:val="24"/>
          <w:szCs w:val="24"/>
          <w:highlight w:val="none"/>
        </w:rPr>
      </w:pPr>
      <w:r>
        <w:rPr>
          <w:rFonts w:hint="eastAsia"/>
          <w:color w:val="000000"/>
          <w:sz w:val="24"/>
          <w:szCs w:val="24"/>
          <w:highlight w:val="none"/>
        </w:rPr>
        <w:t xml:space="preserve">（8）核对评标结果，有《政府采购货物和服务招标投标管理办法》（财政部87号令）第六十四条规定情形的，要求评标委员会复核或者书面说明理由，评标委员会拒绝的，应予记录并向本级财政部门报告；</w:t>
      </w:r>
      <w:r>
        <w:rPr>
          <w:color w:val="000000"/>
          <w:sz w:val="24"/>
          <w:szCs w:val="24"/>
          <w:highlight w:val="none"/>
        </w:rPr>
      </w:r>
      <w:r/>
    </w:p>
    <w:p>
      <w:pPr>
        <w:pStyle w:val="1339"/>
        <w:ind w:firstLine="360"/>
        <w:spacing w:line="360" w:lineRule="auto"/>
        <w:rPr>
          <w:color w:val="000000"/>
          <w:sz w:val="24"/>
          <w:szCs w:val="24"/>
          <w:highlight w:val="none"/>
        </w:rPr>
      </w:pPr>
      <w:r>
        <w:rPr>
          <w:rFonts w:hint="eastAsia"/>
          <w:color w:val="000000"/>
          <w:sz w:val="24"/>
          <w:szCs w:val="24"/>
          <w:highlight w:val="none"/>
        </w:rPr>
        <w:t xml:space="preserve">（9）评审工作完成后，按照规定向评审专家支付劳务报酬和异地评审差旅费，不得向评审专家以外的其他人员支付评审劳务报酬；</w:t>
      </w:r>
      <w:r>
        <w:rPr>
          <w:color w:val="000000"/>
          <w:sz w:val="24"/>
          <w:szCs w:val="24"/>
          <w:highlight w:val="none"/>
        </w:rPr>
      </w:r>
      <w:r/>
    </w:p>
    <w:p>
      <w:pPr>
        <w:pStyle w:val="1339"/>
        <w:ind w:firstLine="360"/>
        <w:spacing w:line="360" w:lineRule="auto"/>
        <w:rPr>
          <w:color w:val="000000"/>
          <w:sz w:val="24"/>
          <w:szCs w:val="24"/>
          <w:highlight w:val="none"/>
        </w:rPr>
      </w:pPr>
      <w:r>
        <w:rPr>
          <w:rFonts w:hint="eastAsia"/>
          <w:color w:val="000000"/>
          <w:sz w:val="24"/>
          <w:szCs w:val="24"/>
          <w:highlight w:val="none"/>
        </w:rPr>
        <w:t xml:space="preserve">（10）处理与评标有关的其他事项。</w:t>
      </w:r>
      <w:r>
        <w:rPr>
          <w:color w:val="000000"/>
          <w:sz w:val="24"/>
          <w:szCs w:val="24"/>
          <w:highlight w:val="none"/>
        </w:rPr>
      </w:r>
      <w:r/>
    </w:p>
    <w:p>
      <w:pPr>
        <w:pStyle w:val="1337"/>
        <w:ind w:firstLine="446"/>
        <w:keepLines w:val="0"/>
        <w:keepNext w:val="0"/>
        <w:spacing w:before="200" w:after="200" w:line="360" w:lineRule="auto"/>
        <w:rPr>
          <w:color w:val="000000"/>
          <w:sz w:val="24"/>
          <w:szCs w:val="24"/>
          <w:highlight w:val="none"/>
        </w:rPr>
      </w:pPr>
      <w:r/>
      <w:bookmarkStart w:id="145" w:name="_Toc76632920"/>
      <w:r/>
      <w:bookmarkStart w:id="146" w:name="_Toc256000056"/>
      <w:r>
        <w:rPr>
          <w:rFonts w:hint="eastAsia"/>
          <w:color w:val="000000"/>
          <w:sz w:val="24"/>
          <w:szCs w:val="24"/>
          <w:highlight w:val="none"/>
        </w:rPr>
        <w:t xml:space="preserve">2．评标委员会职责</w:t>
      </w:r>
      <w:bookmarkEnd w:id="145"/>
      <w:r/>
      <w:bookmarkEnd w:id="146"/>
      <w:r>
        <w:rPr>
          <w:color w:val="000000"/>
          <w:sz w:val="24"/>
          <w:szCs w:val="24"/>
          <w:highlight w:val="none"/>
        </w:rPr>
      </w:r>
      <w:r/>
    </w:p>
    <w:p>
      <w:pPr>
        <w:pStyle w:val="1339"/>
        <w:ind w:firstLine="480"/>
        <w:spacing w:line="360" w:lineRule="auto"/>
        <w:rPr>
          <w:color w:val="000000"/>
          <w:sz w:val="24"/>
          <w:szCs w:val="24"/>
          <w:highlight w:val="none"/>
        </w:rPr>
      </w:pPr>
      <w:r>
        <w:rPr>
          <w:rFonts w:hint="eastAsia"/>
          <w:color w:val="000000"/>
          <w:sz w:val="24"/>
          <w:szCs w:val="24"/>
          <w:highlight w:val="none"/>
        </w:rPr>
        <w:t xml:space="preserve">2.1评标委员会负责具体评标事务，并独立履行下列职责：</w:t>
      </w:r>
      <w:r>
        <w:rPr>
          <w:color w:val="000000"/>
          <w:sz w:val="24"/>
          <w:szCs w:val="24"/>
          <w:highlight w:val="none"/>
        </w:rPr>
      </w:r>
      <w:r/>
    </w:p>
    <w:p>
      <w:pPr>
        <w:pStyle w:val="1131"/>
        <w:ind w:firstLine="420"/>
        <w:spacing w:line="360" w:lineRule="auto"/>
        <w:rPr>
          <w:color w:val="000000"/>
          <w:sz w:val="24"/>
          <w:szCs w:val="24"/>
          <w:highlight w:val="none"/>
        </w:rPr>
      </w:pPr>
      <w:r>
        <w:rPr>
          <w:rFonts w:hint="eastAsia"/>
          <w:color w:val="000000"/>
          <w:sz w:val="24"/>
          <w:szCs w:val="24"/>
          <w:highlight w:val="none"/>
        </w:rPr>
        <w:t xml:space="preserve">（1）审查、评价投标文件是否符合招标文件的商务、技术等实质性要求；</w:t>
      </w:r>
      <w:r>
        <w:rPr>
          <w:color w:val="000000"/>
          <w:sz w:val="24"/>
          <w:szCs w:val="24"/>
          <w:highlight w:val="none"/>
        </w:rPr>
      </w:r>
      <w:r/>
    </w:p>
    <w:p>
      <w:pPr>
        <w:pStyle w:val="1131"/>
        <w:ind w:firstLine="420"/>
        <w:spacing w:line="360" w:lineRule="auto"/>
        <w:rPr>
          <w:color w:val="000000"/>
          <w:sz w:val="24"/>
          <w:szCs w:val="24"/>
          <w:highlight w:val="none"/>
        </w:rPr>
      </w:pPr>
      <w:r>
        <w:rPr>
          <w:rFonts w:hint="eastAsia"/>
          <w:color w:val="000000"/>
          <w:sz w:val="24"/>
          <w:szCs w:val="24"/>
          <w:highlight w:val="none"/>
        </w:rPr>
        <w:t xml:space="preserve">（2）要求投标人对投标文件有关事项作出澄清或者说明；</w:t>
      </w:r>
      <w:r>
        <w:rPr>
          <w:color w:val="000000"/>
          <w:sz w:val="24"/>
          <w:szCs w:val="24"/>
          <w:highlight w:val="none"/>
        </w:rPr>
      </w:r>
      <w:r/>
    </w:p>
    <w:p>
      <w:pPr>
        <w:pStyle w:val="1131"/>
        <w:ind w:firstLine="420"/>
        <w:spacing w:line="360" w:lineRule="auto"/>
        <w:rPr>
          <w:color w:val="000000"/>
          <w:sz w:val="24"/>
          <w:szCs w:val="24"/>
          <w:highlight w:val="none"/>
        </w:rPr>
      </w:pPr>
      <w:r>
        <w:rPr>
          <w:rFonts w:hint="eastAsia"/>
          <w:color w:val="000000"/>
          <w:sz w:val="24"/>
          <w:szCs w:val="24"/>
          <w:highlight w:val="none"/>
        </w:rPr>
        <w:t xml:space="preserve">（3）对投标文件进行比较和评价；</w:t>
      </w:r>
      <w:r>
        <w:rPr>
          <w:color w:val="000000"/>
          <w:sz w:val="24"/>
          <w:szCs w:val="24"/>
          <w:highlight w:val="none"/>
        </w:rPr>
      </w:r>
      <w:r/>
    </w:p>
    <w:p>
      <w:pPr>
        <w:pStyle w:val="1131"/>
        <w:ind w:firstLine="420"/>
        <w:spacing w:line="360" w:lineRule="auto"/>
        <w:rPr>
          <w:color w:val="000000"/>
          <w:sz w:val="24"/>
          <w:szCs w:val="24"/>
          <w:highlight w:val="none"/>
        </w:rPr>
      </w:pPr>
      <w:r>
        <w:rPr>
          <w:rFonts w:hint="eastAsia"/>
          <w:color w:val="000000"/>
          <w:sz w:val="24"/>
          <w:szCs w:val="24"/>
          <w:highlight w:val="none"/>
        </w:rPr>
        <w:t xml:space="preserve">（4）确定中标候选人名单，以及根据采购人委托直接确定中标人；</w:t>
      </w:r>
      <w:r>
        <w:rPr>
          <w:color w:val="000000"/>
          <w:sz w:val="24"/>
          <w:szCs w:val="24"/>
          <w:highlight w:val="none"/>
        </w:rPr>
      </w:r>
      <w:r/>
    </w:p>
    <w:p>
      <w:pPr>
        <w:pStyle w:val="1131"/>
        <w:ind w:firstLine="420"/>
        <w:spacing w:line="360" w:lineRule="auto"/>
        <w:rPr>
          <w:color w:val="000000"/>
          <w:sz w:val="24"/>
          <w:szCs w:val="24"/>
          <w:highlight w:val="none"/>
        </w:rPr>
      </w:pPr>
      <w:r>
        <w:rPr>
          <w:rFonts w:hint="eastAsia"/>
          <w:color w:val="000000"/>
          <w:sz w:val="24"/>
          <w:szCs w:val="24"/>
          <w:highlight w:val="none"/>
        </w:rPr>
        <w:t xml:space="preserve">（5）向采购人、采购代理机构或者有关部门报告评标中发现的违法行为。</w:t>
      </w:r>
      <w:r>
        <w:rPr>
          <w:color w:val="000000"/>
          <w:sz w:val="24"/>
          <w:szCs w:val="24"/>
          <w:highlight w:val="none"/>
        </w:rPr>
      </w:r>
      <w:r/>
    </w:p>
    <w:p>
      <w:pPr>
        <w:pStyle w:val="1337"/>
        <w:ind w:firstLine="446"/>
        <w:keepLines w:val="0"/>
        <w:keepNext w:val="0"/>
        <w:spacing w:before="200" w:after="200" w:line="360" w:lineRule="auto"/>
        <w:rPr>
          <w:color w:val="000000"/>
          <w:sz w:val="24"/>
          <w:szCs w:val="24"/>
          <w:highlight w:val="none"/>
        </w:rPr>
      </w:pPr>
      <w:r/>
      <w:bookmarkStart w:id="147" w:name="_Toc76632922"/>
      <w:r/>
      <w:bookmarkStart w:id="148" w:name="_Toc256000058"/>
      <w:r>
        <w:rPr>
          <w:rFonts w:hint="eastAsia"/>
          <w:color w:val="000000"/>
          <w:sz w:val="24"/>
          <w:szCs w:val="24"/>
          <w:highlight w:val="none"/>
        </w:rPr>
        <w:t xml:space="preserve">3．评标注意事项</w:t>
      </w:r>
      <w:r>
        <w:rPr>
          <w:color w:val="000000"/>
          <w:sz w:val="24"/>
          <w:szCs w:val="24"/>
          <w:highlight w:val="none"/>
        </w:rPr>
      </w:r>
      <w:r/>
    </w:p>
    <w:p>
      <w:pPr>
        <w:pStyle w:val="1131"/>
        <w:ind w:firstLine="480"/>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3.1评标时，评标委员会各成员应当独立对每个投标人的投标文件进行评价，并汇总每个投标人的得分。</w:t>
      </w:r>
      <w:r>
        <w:rPr>
          <w:rFonts w:ascii="宋体" w:hAnsi="宋体"/>
          <w:color w:val="000000"/>
          <w:sz w:val="24"/>
          <w:szCs w:val="24"/>
          <w:highlight w:val="none"/>
        </w:rPr>
      </w:r>
      <w:r/>
    </w:p>
    <w:p>
      <w:pPr>
        <w:pStyle w:val="1131"/>
        <w:ind w:left="1" w:firstLine="480"/>
        <w:spacing w:line="360" w:lineRule="auto"/>
        <w:widowControl/>
        <w:rPr>
          <w:rFonts w:ascii="宋体" w:hAnsi="宋体"/>
          <w:b/>
          <w:color w:val="000000"/>
          <w:sz w:val="24"/>
          <w:szCs w:val="24"/>
          <w:highlight w:val="none"/>
          <w:u w:val="single"/>
        </w:rPr>
      </w:pPr>
      <w:r/>
      <w:bookmarkStart w:id="149" w:name="_Hlk204180458"/>
      <w:r>
        <w:rPr>
          <w:rFonts w:hint="eastAsia" w:ascii="宋体" w:hAnsi="宋体"/>
          <w:color w:val="000000"/>
          <w:sz w:val="24"/>
          <w:szCs w:val="24"/>
          <w:highlight w:val="none"/>
        </w:rPr>
        <w:t xml:space="preserve">3.2</w:t>
      </w:r>
      <w:r>
        <w:rPr>
          <w:rFonts w:hint="eastAsia" w:ascii="宋体" w:hAnsi="宋体"/>
          <w:b/>
          <w:color w:val="000000"/>
          <w:sz w:val="24"/>
          <w:szCs w:val="24"/>
          <w:highlight w:val="none"/>
          <w:u w:val="single"/>
        </w:rPr>
        <w:t xml:space="preserve">评审过程中出现下列情形之一的，评标委员会应当启动异常低价投标(响应)审查程序：</w:t>
      </w:r>
      <w:r>
        <w:rPr>
          <w:rFonts w:ascii="宋体" w:hAnsi="宋体"/>
          <w:b/>
          <w:color w:val="000000"/>
          <w:sz w:val="24"/>
          <w:szCs w:val="24"/>
          <w:highlight w:val="none"/>
          <w:u w:val="single"/>
        </w:rPr>
      </w:r>
      <w:r/>
    </w:p>
    <w:p>
      <w:pPr>
        <w:pStyle w:val="1131"/>
        <w:ind w:left="1" w:firstLine="480"/>
        <w:spacing w:line="360" w:lineRule="auto"/>
        <w:widowControl/>
        <w:rPr>
          <w:rFonts w:ascii="宋体" w:hAnsi="宋体"/>
          <w:b/>
          <w:color w:val="000000"/>
          <w:sz w:val="24"/>
          <w:szCs w:val="24"/>
          <w:highlight w:val="none"/>
          <w:u w:val="single"/>
        </w:rPr>
      </w:pPr>
      <w:r>
        <w:rPr>
          <w:rFonts w:hint="eastAsia" w:ascii="宋体" w:hAnsi="宋体"/>
          <w:color w:val="000000"/>
          <w:sz w:val="24"/>
          <w:szCs w:val="24"/>
          <w:highlight w:val="none"/>
        </w:rPr>
        <w:t xml:space="preserve">3.2.1</w:t>
      </w:r>
      <w:r>
        <w:rPr>
          <w:rFonts w:hint="eastAsia" w:ascii="宋体" w:hAnsi="宋体"/>
          <w:b/>
          <w:color w:val="000000"/>
          <w:sz w:val="24"/>
          <w:szCs w:val="24"/>
          <w:highlight w:val="none"/>
          <w:u w:val="single"/>
        </w:rPr>
        <w:t xml:space="preserve">投标(响应)报价低于采购项目预算50%的，即投标(响应)报价&lt;采购项目预算x50%；</w:t>
      </w:r>
      <w:r>
        <w:rPr>
          <w:rFonts w:ascii="宋体" w:hAnsi="宋体"/>
          <w:b/>
          <w:color w:val="000000"/>
          <w:sz w:val="24"/>
          <w:szCs w:val="24"/>
          <w:highlight w:val="none"/>
          <w:u w:val="single"/>
        </w:rPr>
      </w:r>
      <w:r/>
    </w:p>
    <w:p>
      <w:pPr>
        <w:pStyle w:val="1131"/>
        <w:ind w:left="1" w:firstLine="480"/>
        <w:spacing w:line="360" w:lineRule="auto"/>
        <w:widowControl/>
        <w:rPr>
          <w:rFonts w:ascii="宋体" w:hAnsi="宋体"/>
          <w:b/>
          <w:color w:val="000000"/>
          <w:sz w:val="24"/>
          <w:szCs w:val="24"/>
          <w:highlight w:val="none"/>
          <w:u w:val="single"/>
        </w:rPr>
      </w:pPr>
      <w:r>
        <w:rPr>
          <w:rFonts w:hint="eastAsia" w:ascii="宋体" w:hAnsi="宋体"/>
          <w:color w:val="000000"/>
          <w:sz w:val="24"/>
          <w:szCs w:val="24"/>
          <w:highlight w:val="none"/>
        </w:rPr>
        <w:t xml:space="preserve">3.2.2</w:t>
      </w:r>
      <w:r>
        <w:rPr>
          <w:rFonts w:hint="eastAsia" w:ascii="宋体" w:hAnsi="宋体"/>
          <w:b/>
          <w:color w:val="000000"/>
          <w:sz w:val="24"/>
          <w:szCs w:val="24"/>
          <w:highlight w:val="none"/>
          <w:u w:val="single"/>
        </w:rPr>
        <w:t xml:space="preserve">投标(响应)报价低于采购项目最高限价45%的，即投标(响应)报价&lt;采购项目最高限价x45%；</w:t>
      </w:r>
      <w:r>
        <w:rPr>
          <w:rFonts w:ascii="宋体" w:hAnsi="宋体"/>
          <w:b/>
          <w:color w:val="000000"/>
          <w:sz w:val="24"/>
          <w:szCs w:val="24"/>
          <w:highlight w:val="none"/>
          <w:u w:val="single"/>
        </w:rPr>
      </w:r>
      <w:r/>
    </w:p>
    <w:p>
      <w:pPr>
        <w:pStyle w:val="1131"/>
        <w:ind w:left="1" w:firstLine="480"/>
        <w:spacing w:line="360" w:lineRule="auto"/>
        <w:widowControl/>
        <w:rPr>
          <w:rFonts w:ascii="宋体" w:hAnsi="宋体"/>
          <w:b/>
          <w:color w:val="000000"/>
          <w:sz w:val="24"/>
          <w:szCs w:val="24"/>
          <w:highlight w:val="none"/>
          <w:u w:val="single"/>
        </w:rPr>
      </w:pPr>
      <w:r>
        <w:rPr>
          <w:rFonts w:hint="eastAsia" w:ascii="宋体" w:hAnsi="宋体"/>
          <w:color w:val="000000"/>
          <w:sz w:val="24"/>
          <w:szCs w:val="24"/>
          <w:highlight w:val="none"/>
        </w:rPr>
        <w:t xml:space="preserve">3.2.3</w:t>
      </w:r>
      <w:r>
        <w:rPr>
          <w:rFonts w:hint="eastAsia" w:ascii="宋体" w:hAnsi="宋体"/>
          <w:b/>
          <w:color w:val="000000"/>
          <w:sz w:val="24"/>
          <w:szCs w:val="24"/>
          <w:highlight w:val="none"/>
          <w:u w:val="single"/>
        </w:rPr>
        <w:t xml:space="preserve">评标委员会认定的投标人报价过低、有可能影响产品质量或者不能诚信履约的其他情形。</w:t>
      </w:r>
      <w:r>
        <w:rPr>
          <w:rFonts w:ascii="宋体" w:hAnsi="宋体"/>
          <w:b/>
          <w:color w:val="000000"/>
          <w:sz w:val="24"/>
          <w:szCs w:val="24"/>
          <w:highlight w:val="none"/>
          <w:u w:val="single"/>
        </w:rPr>
      </w:r>
      <w:r/>
    </w:p>
    <w:p>
      <w:pPr>
        <w:pStyle w:val="1131"/>
        <w:ind w:left="1" w:firstLine="482"/>
        <w:spacing w:line="360" w:lineRule="auto"/>
        <w:widowControl/>
        <w:rPr>
          <w:rFonts w:ascii="宋体" w:hAnsi="宋体"/>
          <w:b/>
          <w:color w:val="000000"/>
          <w:sz w:val="24"/>
          <w:szCs w:val="24"/>
          <w:highlight w:val="none"/>
          <w:u w:val="single"/>
        </w:rPr>
      </w:pPr>
      <w:r>
        <w:rPr>
          <w:rFonts w:hint="eastAsia" w:ascii="宋体" w:hAnsi="宋体"/>
          <w:b/>
          <w:color w:val="000000"/>
          <w:sz w:val="24"/>
          <w:szCs w:val="24"/>
          <w:highlight w:val="none"/>
          <w:u w:val="single"/>
        </w:rPr>
        <w:t xml:space="preserve">启动异常低价投标(响应)审查后，评标委员会应当根据相关投标人提供的项目具体成本测算等与报价合理性相关的书面说明及相关证明材料，由评标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r>
        <w:rPr>
          <w:rFonts w:ascii="宋体" w:hAnsi="宋体"/>
          <w:b/>
          <w:color w:val="000000"/>
          <w:sz w:val="24"/>
          <w:szCs w:val="24"/>
          <w:highlight w:val="none"/>
          <w:u w:val="single"/>
        </w:rPr>
      </w:r>
      <w:r/>
    </w:p>
    <w:p>
      <w:pPr>
        <w:pStyle w:val="1131"/>
        <w:ind w:left="1" w:firstLine="482"/>
        <w:spacing w:line="360" w:lineRule="auto"/>
        <w:widowControl/>
        <w:rPr>
          <w:rFonts w:ascii="宋体" w:hAnsi="宋体"/>
          <w:b/>
          <w:color w:val="000000"/>
          <w:sz w:val="24"/>
          <w:szCs w:val="24"/>
          <w:highlight w:val="none"/>
          <w:u w:val="single"/>
        </w:rPr>
      </w:pPr>
      <w:r>
        <w:rPr>
          <w:rFonts w:hint="eastAsia" w:ascii="宋体" w:hAnsi="宋体"/>
          <w:b/>
          <w:color w:val="000000"/>
          <w:sz w:val="24"/>
          <w:szCs w:val="24"/>
          <w:highlight w:val="none"/>
          <w:u w:val="single"/>
        </w:rPr>
        <w:t xml:space="preserve">出现采购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bookmarkEnd w:id="149"/>
      <w:r>
        <w:rPr>
          <w:rFonts w:ascii="宋体" w:hAnsi="宋体"/>
          <w:b/>
          <w:color w:val="000000"/>
          <w:sz w:val="24"/>
          <w:szCs w:val="24"/>
          <w:highlight w:val="none"/>
          <w:u w:val="single"/>
        </w:rPr>
      </w:r>
      <w:r/>
    </w:p>
    <w:p>
      <w:pPr>
        <w:pStyle w:val="1131"/>
        <w:ind w:left="1" w:firstLine="480"/>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3.3对于投标文件中含义不明确、同类问题表述不一致或者有明显文字和计算错误的内容，评标委员会应当以书面形式要求投标人作出必要的澄清、说明或者补正。</w:t>
      </w:r>
      <w:r>
        <w:rPr>
          <w:rFonts w:ascii="宋体" w:hAnsi="宋体"/>
          <w:color w:val="000000"/>
          <w:sz w:val="24"/>
          <w:szCs w:val="24"/>
          <w:highlight w:val="none"/>
        </w:rPr>
      </w:r>
      <w:r/>
    </w:p>
    <w:p>
      <w:pPr>
        <w:pStyle w:val="1131"/>
        <w:ind w:left="1" w:firstLine="480"/>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olor w:val="000000"/>
          <w:sz w:val="24"/>
          <w:szCs w:val="24"/>
          <w:highlight w:val="none"/>
        </w:rPr>
      </w:r>
      <w:r/>
    </w:p>
    <w:p>
      <w:pPr>
        <w:pStyle w:val="1131"/>
        <w:ind w:firstLine="480"/>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3.5评标委员会及其成员不得有下列行为：</w:t>
      </w:r>
      <w:r>
        <w:rPr>
          <w:rFonts w:ascii="宋体" w:hAnsi="宋体"/>
          <w:color w:val="000000"/>
          <w:sz w:val="24"/>
          <w:szCs w:val="24"/>
          <w:highlight w:val="none"/>
        </w:rPr>
      </w:r>
      <w:r/>
    </w:p>
    <w:p>
      <w:pPr>
        <w:pStyle w:val="1131"/>
        <w:ind w:left="1" w:firstLine="480"/>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（1）确定参与评标至评标结束前私自接触投标人；</w:t>
      </w:r>
      <w:r>
        <w:rPr>
          <w:rFonts w:ascii="宋体" w:hAnsi="宋体"/>
          <w:color w:val="000000"/>
          <w:sz w:val="24"/>
          <w:szCs w:val="24"/>
          <w:highlight w:val="none"/>
        </w:rPr>
      </w:r>
      <w:r/>
    </w:p>
    <w:p>
      <w:pPr>
        <w:pStyle w:val="1131"/>
        <w:ind w:left="1" w:firstLine="480"/>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（2）接受投标人提出的与投标文件不一致的澄清或者说明，《政府采购货物和服务招标投标管理办法》（财政部87号令）第五十一条规定的情形除外；</w:t>
      </w:r>
      <w:r>
        <w:rPr>
          <w:rFonts w:ascii="宋体" w:hAnsi="宋体"/>
          <w:color w:val="000000"/>
          <w:sz w:val="24"/>
          <w:szCs w:val="24"/>
          <w:highlight w:val="none"/>
        </w:rPr>
      </w:r>
      <w:r/>
    </w:p>
    <w:p>
      <w:pPr>
        <w:pStyle w:val="1131"/>
        <w:ind w:left="1" w:firstLine="480"/>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（3）违反评标纪律发表倾向性意见或者征询采购人的倾向性意见；</w:t>
      </w:r>
      <w:r>
        <w:rPr>
          <w:rFonts w:ascii="宋体" w:hAnsi="宋体"/>
          <w:color w:val="000000"/>
          <w:sz w:val="24"/>
          <w:szCs w:val="24"/>
          <w:highlight w:val="none"/>
        </w:rPr>
      </w:r>
      <w:r/>
    </w:p>
    <w:p>
      <w:pPr>
        <w:pStyle w:val="1131"/>
        <w:ind w:left="1" w:firstLine="480"/>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（4）对需要专业判断的主观评审因素协商评分；</w:t>
      </w:r>
      <w:r>
        <w:rPr>
          <w:rFonts w:ascii="宋体" w:hAnsi="宋体"/>
          <w:color w:val="000000"/>
          <w:sz w:val="24"/>
          <w:szCs w:val="24"/>
          <w:highlight w:val="none"/>
        </w:rPr>
      </w:r>
      <w:r/>
    </w:p>
    <w:p>
      <w:pPr>
        <w:pStyle w:val="1131"/>
        <w:ind w:left="1" w:firstLine="480"/>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（5）在评标过程中擅离职守，影响评标程序正常进行；</w:t>
      </w:r>
      <w:r>
        <w:rPr>
          <w:rFonts w:ascii="宋体" w:hAnsi="宋体"/>
          <w:color w:val="000000"/>
          <w:sz w:val="24"/>
          <w:szCs w:val="24"/>
          <w:highlight w:val="none"/>
        </w:rPr>
      </w:r>
      <w:r/>
    </w:p>
    <w:p>
      <w:pPr>
        <w:pStyle w:val="1131"/>
        <w:ind w:left="1" w:firstLine="480"/>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（6）记录、复制或者带走任何评标资料；</w:t>
      </w:r>
      <w:r>
        <w:rPr>
          <w:rFonts w:ascii="宋体" w:hAnsi="宋体"/>
          <w:color w:val="000000"/>
          <w:sz w:val="24"/>
          <w:szCs w:val="24"/>
          <w:highlight w:val="none"/>
        </w:rPr>
      </w:r>
      <w:r/>
    </w:p>
    <w:p>
      <w:pPr>
        <w:pStyle w:val="1131"/>
        <w:ind w:left="1" w:firstLine="480"/>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（7）其他不遵守评标纪律的行为。</w:t>
      </w:r>
      <w:r>
        <w:rPr>
          <w:rFonts w:ascii="宋体" w:hAnsi="宋体"/>
          <w:color w:val="000000"/>
          <w:sz w:val="24"/>
          <w:szCs w:val="24"/>
          <w:highlight w:val="none"/>
        </w:rPr>
      </w:r>
      <w:r/>
    </w:p>
    <w:p>
      <w:pPr>
        <w:pStyle w:val="1131"/>
        <w:ind w:left="1" w:firstLine="480"/>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评标委员会成员有上述第一至五项行为之一的，其评审意见无效，并不得获取评审劳务报酬和报销异地评审差旅费。</w:t>
      </w:r>
      <w:r>
        <w:rPr>
          <w:rFonts w:ascii="宋体" w:hAnsi="宋体"/>
          <w:color w:val="000000"/>
          <w:sz w:val="24"/>
          <w:szCs w:val="24"/>
          <w:highlight w:val="none"/>
        </w:rPr>
      </w:r>
      <w:r/>
    </w:p>
    <w:p>
      <w:pPr>
        <w:pStyle w:val="1131"/>
        <w:ind w:left="1" w:firstLine="480"/>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rFonts w:ascii="宋体" w:hAnsi="宋体"/>
          <w:color w:val="000000"/>
          <w:sz w:val="24"/>
          <w:szCs w:val="24"/>
          <w:highlight w:val="none"/>
        </w:rPr>
      </w:r>
      <w:r/>
    </w:p>
    <w:p>
      <w:pPr>
        <w:pStyle w:val="1131"/>
        <w:ind w:firstLine="480"/>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rFonts w:ascii="宋体" w:hAnsi="宋体"/>
          <w:color w:val="000000"/>
          <w:sz w:val="24"/>
          <w:szCs w:val="24"/>
          <w:highlight w:val="none"/>
        </w:rPr>
      </w:r>
      <w:r/>
    </w:p>
    <w:p>
      <w:pPr>
        <w:pStyle w:val="1337"/>
        <w:ind w:firstLine="446"/>
        <w:keepLines w:val="0"/>
        <w:keepNext w:val="0"/>
        <w:spacing w:before="200" w:after="200" w:line="360" w:lineRule="auto"/>
        <w:rPr>
          <w:color w:val="000000"/>
          <w:sz w:val="24"/>
          <w:szCs w:val="24"/>
          <w:highlight w:val="none"/>
        </w:rPr>
      </w:pPr>
      <w:r>
        <w:rPr>
          <w:rFonts w:hint="eastAsia"/>
          <w:color w:val="000000"/>
          <w:sz w:val="24"/>
          <w:szCs w:val="24"/>
          <w:highlight w:val="none"/>
        </w:rPr>
        <w:t xml:space="preserve">4．评标过程的保密</w:t>
      </w:r>
      <w:bookmarkEnd w:id="147"/>
      <w:r/>
      <w:bookmarkEnd w:id="148"/>
      <w:r>
        <w:rPr>
          <w:color w:val="000000"/>
          <w:sz w:val="24"/>
          <w:szCs w:val="24"/>
          <w:highlight w:val="none"/>
        </w:rPr>
      </w:r>
      <w:r/>
    </w:p>
    <w:p>
      <w:pPr>
        <w:pStyle w:val="1131"/>
        <w:ind w:left="1" w:firstLine="480"/>
        <w:spacing w:line="360" w:lineRule="auto"/>
        <w:rPr>
          <w:color w:val="000000"/>
          <w:sz w:val="24"/>
          <w:szCs w:val="24"/>
          <w:highlight w:val="none"/>
        </w:rPr>
      </w:pPr>
      <w:r>
        <w:rPr>
          <w:rFonts w:hint="eastAsia"/>
          <w:color w:val="000000"/>
          <w:sz w:val="24"/>
          <w:szCs w:val="24"/>
          <w:highlight w:val="none"/>
        </w:rPr>
        <w:t xml:space="preserve">4.1评标开始后，至向中标的投标人授予合同时止，与审查、澄清、评价和比较投标的有关资料以及授标建议等，均不得向投标人以及与评标无关的其他人员透露。</w:t>
      </w:r>
      <w:r>
        <w:rPr>
          <w:color w:val="000000"/>
          <w:sz w:val="24"/>
          <w:szCs w:val="24"/>
          <w:highlight w:val="none"/>
        </w:rPr>
      </w:r>
      <w:r/>
    </w:p>
    <w:p>
      <w:pPr>
        <w:pStyle w:val="1131"/>
        <w:ind w:left="1" w:firstLine="480"/>
        <w:spacing w:line="360" w:lineRule="auto"/>
        <w:rPr>
          <w:color w:val="000000"/>
          <w:sz w:val="24"/>
          <w:szCs w:val="24"/>
          <w:highlight w:val="none"/>
        </w:rPr>
      </w:pPr>
      <w:r>
        <w:rPr>
          <w:rFonts w:hint="eastAsia"/>
          <w:color w:val="000000"/>
          <w:sz w:val="24"/>
          <w:szCs w:val="24"/>
          <w:highlight w:val="none"/>
        </w:rPr>
        <w:t xml:space="preserve">4.2在评标过程中，如果投标人试图在投标文件审查、澄清、比较及授标建议等方面向招标组织方或参加评标的人员施加任何影响，都将会导致其投标无效。</w:t>
      </w:r>
      <w:r>
        <w:rPr>
          <w:color w:val="000000"/>
          <w:sz w:val="24"/>
          <w:szCs w:val="24"/>
          <w:highlight w:val="none"/>
        </w:rPr>
      </w:r>
      <w:r/>
    </w:p>
    <w:p>
      <w:pPr>
        <w:pStyle w:val="1131"/>
        <w:ind w:left="1" w:firstLine="480"/>
        <w:spacing w:line="360" w:lineRule="auto"/>
        <w:rPr>
          <w:color w:val="000000"/>
          <w:sz w:val="24"/>
          <w:szCs w:val="24"/>
          <w:highlight w:val="none"/>
          <w:u w:val="single"/>
        </w:rPr>
      </w:pPr>
      <w:r>
        <w:rPr>
          <w:rFonts w:hint="eastAsia"/>
          <w:color w:val="000000"/>
          <w:sz w:val="24"/>
          <w:szCs w:val="24"/>
          <w:highlight w:val="none"/>
        </w:rPr>
        <w:t xml:space="preserve">4.3</w:t>
      </w:r>
      <w:r>
        <w:rPr>
          <w:rFonts w:hint="eastAsia"/>
          <w:b/>
          <w:color w:val="000000"/>
          <w:sz w:val="24"/>
          <w:szCs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color w:val="000000"/>
          <w:sz w:val="24"/>
          <w:szCs w:val="24"/>
          <w:highlight w:val="none"/>
          <w:u w:val="single"/>
        </w:rPr>
      </w:r>
      <w:r/>
    </w:p>
    <w:p>
      <w:pPr>
        <w:pStyle w:val="1337"/>
        <w:ind w:firstLine="446"/>
        <w:keepLines w:val="0"/>
        <w:keepNext w:val="0"/>
        <w:spacing w:before="200" w:after="200" w:line="360" w:lineRule="auto"/>
        <w:rPr>
          <w:color w:val="000000"/>
          <w:sz w:val="24"/>
          <w:szCs w:val="24"/>
          <w:highlight w:val="none"/>
        </w:rPr>
      </w:pPr>
      <w:r/>
      <w:bookmarkStart w:id="150" w:name="_Toc256000059"/>
      <w:r/>
      <w:bookmarkStart w:id="151" w:name="_Toc76632923"/>
      <w:r>
        <w:rPr>
          <w:rFonts w:hint="eastAsia"/>
          <w:color w:val="000000"/>
          <w:sz w:val="24"/>
          <w:szCs w:val="24"/>
          <w:highlight w:val="none"/>
        </w:rPr>
        <w:t xml:space="preserve">5．报价前后不一致的处理原则</w:t>
      </w:r>
      <w:bookmarkEnd w:id="150"/>
      <w:r/>
      <w:bookmarkEnd w:id="151"/>
      <w:r>
        <w:rPr>
          <w:color w:val="000000"/>
          <w:sz w:val="24"/>
          <w:szCs w:val="24"/>
          <w:highlight w:val="none"/>
        </w:rPr>
      </w:r>
      <w:r/>
    </w:p>
    <w:p>
      <w:pPr>
        <w:pStyle w:val="1131"/>
        <w:ind w:left="1" w:firstLine="480"/>
        <w:spacing w:line="360" w:lineRule="auto"/>
        <w:rPr>
          <w:color w:val="000000"/>
          <w:sz w:val="24"/>
          <w:szCs w:val="24"/>
          <w:highlight w:val="none"/>
        </w:rPr>
      </w:pPr>
      <w:r>
        <w:rPr>
          <w:rFonts w:hint="eastAsia"/>
          <w:color w:val="000000"/>
          <w:sz w:val="24"/>
          <w:szCs w:val="24"/>
          <w:highlight w:val="none"/>
        </w:rPr>
        <w:t xml:space="preserve">5.1投标文件报价出现前后不一致的，按照下列规定修正：</w:t>
      </w:r>
      <w:r>
        <w:rPr>
          <w:color w:val="000000"/>
          <w:sz w:val="24"/>
          <w:szCs w:val="24"/>
          <w:highlight w:val="none"/>
        </w:rPr>
      </w:r>
      <w:r/>
    </w:p>
    <w:p>
      <w:pPr>
        <w:pStyle w:val="1131"/>
        <w:ind w:left="1" w:firstLine="480"/>
        <w:spacing w:line="360" w:lineRule="auto"/>
        <w:rPr>
          <w:color w:val="000000"/>
          <w:sz w:val="24"/>
          <w:szCs w:val="24"/>
          <w:highlight w:val="none"/>
        </w:rPr>
      </w:pPr>
      <w:r>
        <w:rPr>
          <w:rFonts w:hint="eastAsia"/>
          <w:color w:val="000000"/>
          <w:sz w:val="24"/>
          <w:szCs w:val="24"/>
          <w:highlight w:val="none"/>
        </w:rPr>
        <w:t xml:space="preserve">（1）投标文件中开标一览表内容与投标文件中相应内容不一致的，以开标一览表为准；</w:t>
      </w:r>
      <w:r>
        <w:rPr>
          <w:color w:val="000000"/>
          <w:sz w:val="24"/>
          <w:szCs w:val="24"/>
          <w:highlight w:val="none"/>
        </w:rPr>
      </w:r>
      <w:r/>
    </w:p>
    <w:p>
      <w:pPr>
        <w:pStyle w:val="1131"/>
        <w:ind w:left="1" w:firstLine="480"/>
        <w:spacing w:line="360" w:lineRule="auto"/>
        <w:rPr>
          <w:color w:val="000000"/>
          <w:sz w:val="24"/>
          <w:szCs w:val="24"/>
          <w:highlight w:val="none"/>
        </w:rPr>
      </w:pPr>
      <w:r>
        <w:rPr>
          <w:rFonts w:hint="eastAsia"/>
          <w:color w:val="000000"/>
          <w:sz w:val="24"/>
          <w:szCs w:val="24"/>
          <w:highlight w:val="none"/>
        </w:rPr>
        <w:t xml:space="preserve">（2）大写金额和小写金额不一致的，以大写金额为准；</w:t>
      </w:r>
      <w:r>
        <w:rPr>
          <w:color w:val="000000"/>
          <w:sz w:val="24"/>
          <w:szCs w:val="24"/>
          <w:highlight w:val="none"/>
        </w:rPr>
      </w:r>
      <w:r/>
    </w:p>
    <w:p>
      <w:pPr>
        <w:pStyle w:val="1131"/>
        <w:ind w:left="1" w:firstLine="480"/>
        <w:spacing w:line="360" w:lineRule="auto"/>
        <w:rPr>
          <w:color w:val="000000"/>
          <w:sz w:val="24"/>
          <w:szCs w:val="24"/>
          <w:highlight w:val="none"/>
        </w:rPr>
      </w:pPr>
      <w:r>
        <w:rPr>
          <w:rFonts w:hint="eastAsia"/>
          <w:color w:val="000000"/>
          <w:sz w:val="24"/>
          <w:szCs w:val="24"/>
          <w:highlight w:val="none"/>
        </w:rPr>
        <w:t xml:space="preserve">（3）单价金额小数点或者百分比有明显错位的，以开标一览表的总价为准，并修改单价；</w:t>
      </w:r>
      <w:r>
        <w:rPr>
          <w:color w:val="000000"/>
          <w:sz w:val="24"/>
          <w:szCs w:val="24"/>
          <w:highlight w:val="none"/>
        </w:rPr>
      </w:r>
      <w:r/>
    </w:p>
    <w:p>
      <w:pPr>
        <w:pStyle w:val="1131"/>
        <w:ind w:left="1" w:firstLine="480"/>
        <w:spacing w:line="360" w:lineRule="auto"/>
        <w:rPr>
          <w:color w:val="000000"/>
          <w:sz w:val="24"/>
          <w:szCs w:val="24"/>
          <w:highlight w:val="none"/>
        </w:rPr>
      </w:pPr>
      <w:r>
        <w:rPr>
          <w:rFonts w:hint="eastAsia"/>
          <w:color w:val="000000"/>
          <w:sz w:val="24"/>
          <w:szCs w:val="24"/>
          <w:highlight w:val="none"/>
        </w:rPr>
        <w:t xml:space="preserve">（4）总价金额与按单价汇总金额不一致的，以单价金额计算结果为准。</w:t>
      </w:r>
      <w:r>
        <w:rPr>
          <w:color w:val="000000"/>
          <w:sz w:val="24"/>
          <w:szCs w:val="24"/>
          <w:highlight w:val="none"/>
        </w:rPr>
      </w:r>
      <w:r/>
    </w:p>
    <w:p>
      <w:pPr>
        <w:pStyle w:val="1131"/>
        <w:ind w:firstLine="480"/>
        <w:spacing w:line="360" w:lineRule="auto"/>
        <w:rPr>
          <w:rFonts w:ascii="宋体" w:hAnsi="宋体" w:cs="宋体"/>
          <w:color w:val="000000"/>
          <w:sz w:val="24"/>
          <w:highlight w:val="none"/>
        </w:rPr>
      </w:pPr>
      <w:r>
        <w:rPr>
          <w:rFonts w:hint="eastAsia"/>
          <w:b/>
          <w:bCs/>
          <w:color w:val="000000"/>
          <w:sz w:val="24"/>
          <w:szCs w:val="24"/>
          <w:highlight w:val="non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r>
        <w:rPr>
          <w:rFonts w:ascii="宋体" w:hAnsi="宋体" w:cs="宋体"/>
          <w:color w:val="000000"/>
          <w:sz w:val="24"/>
          <w:highlight w:val="none"/>
        </w:rPr>
      </w:r>
      <w:r/>
    </w:p>
    <w:p>
      <w:pPr>
        <w:pStyle w:val="1337"/>
        <w:ind w:firstLine="446"/>
        <w:keepLines w:val="0"/>
        <w:keepNext w:val="0"/>
        <w:spacing w:before="200" w:after="200" w:line="360" w:lineRule="auto"/>
        <w:rPr>
          <w:color w:val="000000"/>
          <w:sz w:val="24"/>
          <w:szCs w:val="24"/>
          <w:highlight w:val="none"/>
        </w:rPr>
      </w:pPr>
      <w:r/>
      <w:bookmarkStart w:id="152" w:name="_Toc73365516"/>
      <w:r/>
      <w:bookmarkStart w:id="153" w:name="_Toc73364903"/>
      <w:r/>
      <w:bookmarkStart w:id="154" w:name="_Toc142925671"/>
      <w:r>
        <w:rPr>
          <w:rFonts w:hint="eastAsia"/>
          <w:color w:val="000000"/>
          <w:sz w:val="24"/>
          <w:szCs w:val="24"/>
          <w:highlight w:val="none"/>
        </w:rPr>
        <w:t xml:space="preserve">6．</w:t>
      </w:r>
      <w:r>
        <w:rPr>
          <w:rFonts w:hint="eastAsia"/>
          <w:color w:val="000000"/>
          <w:sz w:val="24"/>
          <w:szCs w:val="24"/>
          <w:highlight w:val="none"/>
          <w:lang w:eastAsia="zh-CN"/>
        </w:rPr>
        <w:t xml:space="preserve">投标人</w:t>
      </w:r>
      <w:r>
        <w:rPr>
          <w:rFonts w:hint="eastAsia"/>
          <w:color w:val="000000"/>
          <w:sz w:val="24"/>
          <w:szCs w:val="24"/>
          <w:highlight w:val="none"/>
        </w:rPr>
        <w:t xml:space="preserve">资格审查</w:t>
      </w:r>
      <w:bookmarkEnd w:id="152"/>
      <w:r/>
      <w:bookmarkEnd w:id="153"/>
      <w:r/>
      <w:bookmarkEnd w:id="154"/>
      <w:r>
        <w:rPr>
          <w:color w:val="000000"/>
          <w:sz w:val="24"/>
          <w:szCs w:val="24"/>
          <w:highlight w:val="none"/>
        </w:rPr>
      </w:r>
      <w:r/>
    </w:p>
    <w:p>
      <w:pPr>
        <w:pStyle w:val="1131"/>
        <w:ind w:firstLine="480"/>
        <w:spacing w:line="360" w:lineRule="auto"/>
        <w:rPr>
          <w:rFonts w:ascii="宋体" w:hAnsi="宋体" w:cs="宋体"/>
          <w:color w:val="000000"/>
          <w:sz w:val="24"/>
          <w:highlight w:val="none"/>
        </w:rPr>
      </w:pPr>
      <w:r/>
      <w:bookmarkStart w:id="155" w:name="EB62b7e4128ed04384afeeab46ecea92c3"/>
      <w:r/>
      <w:bookmarkEnd w:id="155"/>
      <w:r>
        <w:rPr>
          <w:rFonts w:hint="eastAsia" w:ascii="宋体" w:hAnsi="宋体" w:cs="宋体"/>
          <w:color w:val="000000"/>
          <w:sz w:val="24"/>
          <w:highlight w:val="none"/>
        </w:rPr>
        <w:t xml:space="preserve">开启结束后，采购人将依法对投标人的资格进行审查。资格审查的内容如下：</w:t>
      </w:r>
      <w:r>
        <w:rPr>
          <w:rFonts w:ascii="宋体" w:hAnsi="宋体" w:cs="宋体"/>
          <w:color w:val="000000"/>
          <w:sz w:val="24"/>
          <w:highlight w:val="none"/>
        </w:rPr>
      </w:r>
      <w:r/>
    </w:p>
    <w:tbl>
      <w:tblPr>
        <w:tblW w:w="572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2198"/>
        <w:gridCol w:w="7841"/>
      </w:tblGrid>
      <w:tr>
        <w:trPr/>
        <w:tc>
          <w:tcPr>
            <w:tcW w:w="422" w:type="dxa"/>
            <w:vAlign w:val="center"/>
            <w:textDirection w:val="lrTb"/>
            <w:noWrap/>
          </w:tcPr>
          <w:p>
            <w:pPr>
              <w:pStyle w:val="1131"/>
              <w:jc w:val="center"/>
              <w:rPr>
                <w:rFonts w:ascii="宋体" w:hAnsi="宋体" w:cs="宋体"/>
                <w:color w:val="000000"/>
                <w:sz w:val="24"/>
                <w:highlight w:val="none"/>
              </w:rPr>
            </w:pPr>
            <w:r/>
            <w:bookmarkStart w:id="156" w:name="EB26dcd70bebb54979b7a4b621de125d2f"/>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1002" w:type="dxa"/>
            <w:vAlign w:val="center"/>
            <w:textDirection w:val="lrTb"/>
            <w:noWrap/>
          </w:tcPr>
          <w:p>
            <w:pPr>
              <w:pStyle w:val="1131"/>
              <w:ind w:firstLine="480"/>
              <w:rPr>
                <w:rFonts w:ascii="宋体" w:hAnsi="宋体" w:cs="宋体"/>
                <w:color w:val="000000"/>
                <w:sz w:val="24"/>
                <w:highlight w:val="none"/>
              </w:rPr>
            </w:pPr>
            <w:r>
              <w:rPr>
                <w:rFonts w:hint="eastAsia" w:ascii="宋体" w:hAnsi="宋体" w:cs="宋体"/>
                <w:color w:val="000000"/>
                <w:sz w:val="24"/>
                <w:highlight w:val="none"/>
              </w:rPr>
              <w:t xml:space="preserve">审查要素</w:t>
            </w:r>
            <w:r>
              <w:rPr>
                <w:rFonts w:ascii="宋体" w:hAnsi="宋体" w:cs="宋体"/>
                <w:color w:val="000000"/>
                <w:sz w:val="24"/>
                <w:highlight w:val="none"/>
              </w:rPr>
            </w:r>
            <w:r/>
          </w:p>
        </w:tc>
        <w:tc>
          <w:tcPr>
            <w:tcW w:w="3574" w:type="dxa"/>
            <w:vAlign w:val="center"/>
            <w:textDirection w:val="lrTb"/>
            <w:noWrap/>
          </w:tcPr>
          <w:p>
            <w:pPr>
              <w:pStyle w:val="1131"/>
              <w:ind w:firstLine="480"/>
              <w:rPr>
                <w:rFonts w:ascii="宋体" w:hAnsi="宋体" w:cs="宋体"/>
                <w:color w:val="000000"/>
                <w:sz w:val="24"/>
                <w:highlight w:val="none"/>
              </w:rPr>
            </w:pPr>
            <w:r>
              <w:rPr>
                <w:rFonts w:hint="eastAsia" w:ascii="宋体" w:hAnsi="宋体" w:cs="宋体"/>
                <w:color w:val="000000"/>
                <w:sz w:val="24"/>
                <w:highlight w:val="none"/>
              </w:rPr>
              <w:t xml:space="preserve">审查内容</w:t>
            </w:r>
            <w:r>
              <w:rPr>
                <w:rFonts w:ascii="宋体" w:hAnsi="宋体" w:cs="宋体"/>
                <w:color w:val="000000"/>
                <w:sz w:val="24"/>
                <w:highlight w:val="none"/>
              </w:rPr>
            </w:r>
            <w:r/>
          </w:p>
        </w:tc>
      </w:tr>
      <w:tr>
        <w:trPr/>
        <w:tc>
          <w:tcPr>
            <w:tcW w:w="422" w:type="dxa"/>
            <w:vAlign w:val="center"/>
            <w:textDirection w:val="lrTb"/>
            <w:noWrap/>
          </w:tcPr>
          <w:p>
            <w:pPr>
              <w:pStyle w:val="1131"/>
              <w:jc w:val="center"/>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1002" w:type="dxa"/>
            <w:vAlign w:val="center"/>
            <w:textDirection w:val="lrTb"/>
            <w:noWrap/>
          </w:tcPr>
          <w:p>
            <w:pPr>
              <w:pStyle w:val="1131"/>
              <w:rPr>
                <w:rFonts w:ascii="宋体" w:hAnsi="宋体" w:cs="宋体"/>
                <w:color w:val="000000"/>
                <w:sz w:val="24"/>
                <w:highlight w:val="none"/>
              </w:rPr>
            </w:pPr>
            <w:r>
              <w:rPr>
                <w:rFonts w:hint="eastAsia" w:ascii="宋体" w:hAnsi="宋体" w:cs="宋体"/>
                <w:color w:val="000000"/>
                <w:sz w:val="24"/>
                <w:highlight w:val="none"/>
              </w:rPr>
              <w:t xml:space="preserve">具有独立承担民事责任的能力</w:t>
            </w:r>
            <w:r>
              <w:rPr>
                <w:rFonts w:ascii="宋体" w:hAnsi="宋体" w:cs="宋体"/>
                <w:color w:val="000000"/>
                <w:sz w:val="24"/>
                <w:highlight w:val="none"/>
              </w:rPr>
            </w:r>
            <w:r/>
          </w:p>
        </w:tc>
        <w:tc>
          <w:tcPr>
            <w:tcW w:w="3574" w:type="dxa"/>
            <w:vAlign w:val="center"/>
            <w:textDirection w:val="lrTb"/>
            <w:noWrap/>
          </w:tcPr>
          <w:p>
            <w:pPr>
              <w:pStyle w:val="1131"/>
              <w:ind w:firstLine="480"/>
              <w:rPr>
                <w:rFonts w:ascii="宋体" w:hAnsi="宋体" w:cs="宋体"/>
                <w:color w:val="000000"/>
                <w:sz w:val="24"/>
                <w:highlight w:val="none"/>
              </w:rPr>
            </w:pPr>
            <w:r>
              <w:rPr>
                <w:rFonts w:hint="eastAsia" w:ascii="宋体" w:hAnsi="宋体" w:cs="宋体"/>
                <w:color w:val="000000"/>
                <w:sz w:val="24"/>
                <w:highlight w:val="none"/>
              </w:rPr>
              <w:t xml:space="preserve">提供法人或者其他组织的营业执照等证明文件扫描件；投标人为自然人的，提供其身份证扫描件</w:t>
            </w:r>
            <w:r>
              <w:rPr>
                <w:rFonts w:ascii="宋体" w:hAnsi="宋体" w:cs="宋体"/>
                <w:color w:val="000000"/>
                <w:sz w:val="24"/>
                <w:highlight w:val="none"/>
              </w:rPr>
            </w:r>
            <w:r/>
          </w:p>
        </w:tc>
      </w:tr>
      <w:tr>
        <w:trPr/>
        <w:tc>
          <w:tcPr>
            <w:tcW w:w="422" w:type="dxa"/>
            <w:vAlign w:val="center"/>
            <w:textDirection w:val="lrTb"/>
            <w:noWrap/>
          </w:tcPr>
          <w:p>
            <w:pPr>
              <w:pStyle w:val="1131"/>
              <w:jc w:val="center"/>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1002" w:type="dxa"/>
            <w:vAlign w:val="center"/>
            <w:textDirection w:val="lrTb"/>
            <w:noWrap/>
          </w:tcPr>
          <w:p>
            <w:pPr>
              <w:pStyle w:val="1131"/>
              <w:rPr>
                <w:rFonts w:ascii="宋体" w:hAnsi="宋体" w:cs="宋体"/>
                <w:color w:val="000000"/>
                <w:sz w:val="24"/>
                <w:highlight w:val="none"/>
              </w:rPr>
            </w:pPr>
            <w:r>
              <w:rPr>
                <w:rFonts w:hint="eastAsia" w:ascii="宋体" w:hAnsi="宋体" w:cs="宋体"/>
                <w:color w:val="000000"/>
                <w:sz w:val="24"/>
                <w:highlight w:val="none"/>
              </w:rPr>
              <w:t xml:space="preserve">具有良好的商业信誉和健全的财务会计制度</w:t>
            </w:r>
            <w:r>
              <w:rPr>
                <w:rFonts w:ascii="宋体" w:hAnsi="宋体" w:cs="宋体"/>
                <w:color w:val="000000"/>
                <w:sz w:val="24"/>
                <w:highlight w:val="none"/>
              </w:rPr>
            </w:r>
            <w:r/>
          </w:p>
        </w:tc>
        <w:tc>
          <w:tcPr>
            <w:tcW w:w="3574" w:type="dxa"/>
            <w:vAlign w:val="center"/>
            <w:textDirection w:val="lrTb"/>
            <w:noWrap/>
          </w:tcPr>
          <w:p>
            <w:pPr>
              <w:pStyle w:val="1131"/>
              <w:ind w:firstLine="480"/>
              <w:rPr>
                <w:rFonts w:ascii="宋体" w:hAnsi="宋体" w:cs="宋体"/>
                <w:color w:val="000000"/>
                <w:sz w:val="24"/>
                <w:highlight w:val="none"/>
              </w:rPr>
            </w:pPr>
            <w:r>
              <w:rPr>
                <w:rFonts w:hint="eastAsia" w:ascii="宋体" w:hAnsi="宋体" w:cs="宋体"/>
                <w:color w:val="000000"/>
                <w:sz w:val="24"/>
                <w:highlight w:val="none"/>
              </w:rPr>
              <w:t xml:space="preserve">提供 </w:t>
            </w:r>
            <w:r>
              <w:rPr>
                <w:rFonts w:hint="eastAsia" w:ascii="宋体" w:hAnsi="宋体" w:cs="宋体"/>
                <w:color w:val="000000"/>
                <w:sz w:val="24"/>
                <w:highlight w:val="none"/>
              </w:rPr>
              <w:t xml:space="preserve">2024年度</w:t>
            </w:r>
            <w:r>
              <w:rPr>
                <w:rFonts w:hint="eastAsia" w:ascii="宋体" w:hAnsi="宋体" w:cs="宋体"/>
                <w:color w:val="000000"/>
                <w:sz w:val="24"/>
                <w:highlight w:val="none"/>
              </w:rPr>
              <w:t xml:space="preserve">财务报告，成立不满一年的提供至少一个月财务报告，或银行出具的资信证明，或财政部门认可的政府采购专业担保机构出具的投标担保函等或提供资格承诺函</w:t>
            </w:r>
            <w:r>
              <w:rPr>
                <w:rFonts w:ascii="宋体" w:hAnsi="宋体" w:cs="宋体"/>
                <w:color w:val="000000"/>
                <w:sz w:val="24"/>
                <w:highlight w:val="none"/>
              </w:rPr>
            </w:r>
            <w:r/>
          </w:p>
        </w:tc>
      </w:tr>
      <w:tr>
        <w:trPr/>
        <w:tc>
          <w:tcPr>
            <w:tcW w:w="422" w:type="dxa"/>
            <w:vAlign w:val="center"/>
            <w:textDirection w:val="lrTb"/>
            <w:noWrap/>
          </w:tcPr>
          <w:p>
            <w:pPr>
              <w:pStyle w:val="1131"/>
              <w:jc w:val="center"/>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1002" w:type="dxa"/>
            <w:vAlign w:val="center"/>
            <w:textDirection w:val="lrTb"/>
            <w:noWrap/>
          </w:tcPr>
          <w:p>
            <w:pPr>
              <w:pStyle w:val="1131"/>
              <w:rPr>
                <w:rFonts w:ascii="宋体" w:hAnsi="宋体" w:cs="宋体"/>
                <w:color w:val="000000"/>
                <w:sz w:val="24"/>
                <w:highlight w:val="none"/>
              </w:rPr>
            </w:pPr>
            <w:r>
              <w:rPr>
                <w:rFonts w:hint="eastAsia" w:ascii="宋体" w:hAnsi="宋体" w:cs="宋体"/>
                <w:color w:val="000000"/>
                <w:sz w:val="24"/>
                <w:highlight w:val="none"/>
              </w:rPr>
              <w:t xml:space="preserve">具有履行合同所必需的设备和专业技术能力</w:t>
            </w:r>
            <w:r>
              <w:rPr>
                <w:rFonts w:ascii="宋体" w:hAnsi="宋体" w:cs="宋体"/>
                <w:color w:val="000000"/>
                <w:sz w:val="24"/>
                <w:highlight w:val="none"/>
              </w:rPr>
            </w:r>
            <w:r/>
          </w:p>
        </w:tc>
        <w:tc>
          <w:tcPr>
            <w:tcW w:w="3574" w:type="dxa"/>
            <w:vAlign w:val="center"/>
            <w:textDirection w:val="lrTb"/>
            <w:noWrap/>
          </w:tcPr>
          <w:p>
            <w:pPr>
              <w:pStyle w:val="1131"/>
              <w:ind w:firstLine="480"/>
              <w:rPr>
                <w:rFonts w:ascii="宋体" w:hAnsi="宋体" w:cs="宋体"/>
                <w:color w:val="000000"/>
                <w:sz w:val="24"/>
                <w:highlight w:val="none"/>
              </w:rPr>
            </w:pPr>
            <w:r>
              <w:rPr>
                <w:rFonts w:hint="eastAsia" w:ascii="宋体" w:hAnsi="宋体" w:cs="宋体"/>
                <w:color w:val="000000"/>
                <w:sz w:val="24"/>
                <w:highlight w:val="none"/>
              </w:rPr>
              <w:t xml:space="preserve">投标人相关信息一览表或提供资格承诺函</w:t>
            </w:r>
            <w:r>
              <w:rPr>
                <w:rFonts w:ascii="宋体" w:hAnsi="宋体" w:cs="宋体"/>
                <w:color w:val="000000"/>
                <w:sz w:val="24"/>
                <w:highlight w:val="none"/>
              </w:rPr>
            </w:r>
            <w:r/>
          </w:p>
        </w:tc>
      </w:tr>
      <w:tr>
        <w:trPr/>
        <w:tc>
          <w:tcPr>
            <w:tcW w:w="422" w:type="dxa"/>
            <w:vAlign w:val="center"/>
            <w:textDirection w:val="lrTb"/>
            <w:noWrap/>
          </w:tcPr>
          <w:p>
            <w:pPr>
              <w:pStyle w:val="1131"/>
              <w:jc w:val="center"/>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1002" w:type="dxa"/>
            <w:vAlign w:val="center"/>
            <w:textDirection w:val="lrTb"/>
            <w:noWrap/>
          </w:tcPr>
          <w:p>
            <w:pPr>
              <w:pStyle w:val="1131"/>
              <w:rPr>
                <w:rFonts w:ascii="宋体" w:hAnsi="宋体" w:cs="宋体"/>
                <w:color w:val="000000"/>
                <w:sz w:val="24"/>
                <w:highlight w:val="none"/>
              </w:rPr>
            </w:pPr>
            <w:r>
              <w:rPr>
                <w:rFonts w:hint="eastAsia" w:ascii="宋体" w:hAnsi="宋体" w:cs="宋体"/>
                <w:color w:val="000000"/>
                <w:sz w:val="24"/>
                <w:highlight w:val="none"/>
              </w:rPr>
              <w:t xml:space="preserve">有依法缴纳税收和社会保障资金的良好记录</w:t>
            </w:r>
            <w:r>
              <w:rPr>
                <w:rFonts w:ascii="宋体" w:hAnsi="宋体" w:cs="宋体"/>
                <w:color w:val="000000"/>
                <w:sz w:val="24"/>
                <w:highlight w:val="none"/>
              </w:rPr>
            </w:r>
            <w:r/>
          </w:p>
        </w:tc>
        <w:tc>
          <w:tcPr>
            <w:tcW w:w="3574" w:type="dxa"/>
            <w:vAlign w:val="center"/>
            <w:textDirection w:val="lrTb"/>
            <w:noWrap/>
          </w:tcPr>
          <w:p>
            <w:pPr>
              <w:pStyle w:val="1131"/>
              <w:ind w:firstLine="480"/>
              <w:rPr>
                <w:rFonts w:ascii="宋体" w:hAnsi="宋体" w:cs="宋体"/>
                <w:color w:val="000000"/>
                <w:sz w:val="24"/>
                <w:highlight w:val="none"/>
              </w:rPr>
            </w:pPr>
            <w:r>
              <w:rPr>
                <w:rFonts w:hint="eastAsia" w:ascii="宋体" w:hAnsi="宋体" w:cs="宋体"/>
                <w:color w:val="000000"/>
                <w:sz w:val="24"/>
                <w:highlight w:val="none"/>
              </w:rPr>
              <w:t xml:space="preserve">提供参加本次政府采购活动前半年内至少一个月依法缴纳税收和社会保险的凭据或提供资格承诺函</w:t>
            </w:r>
            <w:r>
              <w:rPr>
                <w:rFonts w:ascii="宋体" w:hAnsi="宋体" w:cs="宋体"/>
                <w:color w:val="000000"/>
                <w:sz w:val="24"/>
                <w:highlight w:val="none"/>
              </w:rPr>
            </w:r>
            <w:r/>
          </w:p>
        </w:tc>
      </w:tr>
      <w:tr>
        <w:trPr/>
        <w:tc>
          <w:tcPr>
            <w:tcW w:w="422" w:type="dxa"/>
            <w:vAlign w:val="center"/>
            <w:textDirection w:val="lrTb"/>
            <w:noWrap/>
          </w:tcPr>
          <w:p>
            <w:pPr>
              <w:pStyle w:val="1131"/>
              <w:jc w:val="center"/>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1002" w:type="dxa"/>
            <w:vAlign w:val="center"/>
            <w:textDirection w:val="lrTb"/>
            <w:noWrap/>
          </w:tcPr>
          <w:p>
            <w:pPr>
              <w:pStyle w:val="1131"/>
              <w:rPr>
                <w:rFonts w:ascii="宋体" w:hAnsi="宋体" w:cs="宋体"/>
                <w:color w:val="000000"/>
                <w:sz w:val="24"/>
                <w:highlight w:val="none"/>
              </w:rPr>
            </w:pPr>
            <w:r>
              <w:rPr>
                <w:rFonts w:hint="eastAsia" w:ascii="宋体" w:hAnsi="宋体" w:cs="宋体"/>
                <w:color w:val="000000"/>
                <w:sz w:val="24"/>
                <w:highlight w:val="none"/>
              </w:rPr>
              <w:t xml:space="preserve">参加政府采购活动前三年内，在经营活动中没有重大违法记录</w:t>
            </w:r>
            <w:r>
              <w:rPr>
                <w:rFonts w:ascii="宋体" w:hAnsi="宋体" w:cs="宋体"/>
                <w:color w:val="000000"/>
                <w:sz w:val="24"/>
                <w:highlight w:val="none"/>
              </w:rPr>
            </w:r>
            <w:r/>
          </w:p>
        </w:tc>
        <w:tc>
          <w:tcPr>
            <w:tcW w:w="3574" w:type="dxa"/>
            <w:vAlign w:val="center"/>
            <w:textDirection w:val="lrTb"/>
            <w:noWrap/>
          </w:tcPr>
          <w:p>
            <w:pPr>
              <w:pStyle w:val="1131"/>
              <w:ind w:firstLine="480"/>
              <w:rPr>
                <w:rFonts w:ascii="宋体" w:hAnsi="宋体" w:cs="宋体"/>
                <w:color w:val="000000"/>
                <w:sz w:val="24"/>
                <w:highlight w:val="none"/>
              </w:rPr>
            </w:pPr>
            <w:r>
              <w:rPr>
                <w:rFonts w:hint="eastAsia" w:ascii="宋体" w:hAnsi="宋体" w:cs="宋体"/>
                <w:color w:val="000000"/>
                <w:sz w:val="24"/>
                <w:highlight w:val="none"/>
              </w:rPr>
              <w:t xml:space="preserve">（1）投标函。（2）“信用中国”网站（www.creditchina.gov.cn）、中国政府采购网（www.ccgp.gov.cn）、“信用江苏”网站（http://credit.jiangsu.gov.cn/）的查询结果未列入失信被执行人名单、重大税收违法案件当事人名单、政府采购严重违法失信行为名单,以现场查询为准或提供资格承诺函。</w:t>
            </w:r>
            <w:r>
              <w:rPr>
                <w:rFonts w:ascii="宋体" w:hAnsi="宋体" w:cs="宋体"/>
                <w:color w:val="000000"/>
                <w:sz w:val="24"/>
                <w:highlight w:val="none"/>
              </w:rPr>
            </w:r>
            <w:r/>
          </w:p>
        </w:tc>
      </w:tr>
      <w:tr>
        <w:trPr/>
        <w:tc>
          <w:tcPr>
            <w:tcW w:w="422" w:type="dxa"/>
            <w:vAlign w:val="center"/>
            <w:textDirection w:val="lrTb"/>
            <w:noWrap/>
          </w:tcPr>
          <w:p>
            <w:pPr>
              <w:pStyle w:val="1131"/>
              <w:jc w:val="center"/>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W w:w="1002" w:type="dxa"/>
            <w:vAlign w:val="center"/>
            <w:textDirection w:val="lrTb"/>
            <w:noWrap/>
          </w:tcPr>
          <w:p>
            <w:pPr>
              <w:pStyle w:val="1131"/>
              <w:rPr>
                <w:rFonts w:ascii="宋体" w:hAnsi="宋体" w:cs="宋体"/>
                <w:color w:val="000000"/>
                <w:sz w:val="24"/>
                <w:highlight w:val="none"/>
              </w:rPr>
            </w:pPr>
            <w:r>
              <w:rPr>
                <w:rFonts w:hint="eastAsia" w:ascii="宋体" w:hAnsi="宋体" w:cs="宋体"/>
                <w:color w:val="000000"/>
                <w:sz w:val="24"/>
                <w:highlight w:val="none"/>
              </w:rPr>
              <w:t xml:space="preserve">法律、行政法规规定的其他条件</w:t>
            </w:r>
            <w:r>
              <w:rPr>
                <w:rFonts w:ascii="宋体" w:hAnsi="宋体" w:cs="宋体"/>
                <w:color w:val="000000"/>
                <w:sz w:val="24"/>
                <w:highlight w:val="none"/>
              </w:rPr>
            </w:r>
            <w:r/>
          </w:p>
        </w:tc>
        <w:tc>
          <w:tcPr>
            <w:tcW w:w="3574" w:type="dxa"/>
            <w:vAlign w:val="center"/>
            <w:textDirection w:val="lrTb"/>
            <w:noWrap/>
          </w:tcPr>
          <w:p>
            <w:pPr>
              <w:pStyle w:val="1131"/>
              <w:ind w:firstLine="480"/>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r>
      <w:tr>
        <w:trPr/>
        <w:tc>
          <w:tcPr>
            <w:tcW w:w="422" w:type="dxa"/>
            <w:vAlign w:val="center"/>
            <w:textDirection w:val="lrTb"/>
            <w:noWrap/>
          </w:tcPr>
          <w:p>
            <w:pPr>
              <w:pStyle w:val="1131"/>
              <w:jc w:val="center"/>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tcW w:w="1002" w:type="dxa"/>
            <w:vAlign w:val="center"/>
            <w:textDirection w:val="lrTb"/>
            <w:noWrap/>
          </w:tcPr>
          <w:p>
            <w:pPr>
              <w:pStyle w:val="1131"/>
              <w:rPr>
                <w:rFonts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ascii="宋体" w:hAnsi="宋体" w:cs="宋体"/>
                <w:color w:val="000000"/>
                <w:sz w:val="24"/>
                <w:highlight w:val="none"/>
              </w:rPr>
            </w:r>
            <w:r/>
          </w:p>
        </w:tc>
        <w:tc>
          <w:tcPr>
            <w:tcW w:w="3574" w:type="dxa"/>
            <w:vAlign w:val="center"/>
            <w:textDirection w:val="lrTb"/>
            <w:noWrap/>
          </w:tcPr>
          <w:p>
            <w:pPr>
              <w:pStyle w:val="1131"/>
              <w:ind w:firstLine="480"/>
              <w:spacing w:line="360" w:lineRule="auto"/>
              <w:rPr>
                <w:rFonts w:ascii="宋体" w:hAnsi="宋体"/>
                <w:color w:val="000000"/>
                <w:sz w:val="24"/>
                <w:szCs w:val="28"/>
                <w:highlight w:val="none"/>
              </w:rPr>
            </w:pPr>
            <w:r>
              <w:rPr>
                <w:rFonts w:hint="eastAsia" w:ascii="宋体" w:hAnsi="宋体" w:cs="宋体"/>
                <w:color w:val="000000"/>
                <w:sz w:val="24"/>
                <w:szCs w:val="24"/>
                <w:highlight w:val="none"/>
              </w:rPr>
              <w:t xml:space="preserve">（1）本项目</w:t>
            </w:r>
            <w:r>
              <w:rPr>
                <w:rFonts w:hint="eastAsia" w:ascii="宋体" w:hAnsi="宋体" w:cs="宋体"/>
                <w:color w:val="000000"/>
                <w:sz w:val="24"/>
                <w:szCs w:val="24"/>
                <w:highlight w:val="none"/>
                <w:u w:val="single"/>
              </w:rPr>
              <w:t xml:space="preserve">支持</w:t>
            </w:r>
            <w:r>
              <w:rPr>
                <w:rFonts w:hint="eastAsia" w:ascii="宋体" w:hAnsi="宋体" w:cs="宋体"/>
                <w:color w:val="000000"/>
                <w:sz w:val="24"/>
                <w:szCs w:val="24"/>
                <w:highlight w:val="none"/>
              </w:rPr>
              <w:t xml:space="preserve">和适用节能环保产品（财库【2019】9号）、（财库【2019】19号）、（财库【2019】18号）；支持中小微企业（财库【2022】19号）、（苏财购【2022】45号）、（工信部联企业【2011】300）等政策。</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2）根据财政部、工业和信息化部关于印发《政府采购促进中小企业发展管理办法》的通知及工信部联企业[2011]300号《工业和信息化部、国家统计局、国家发展和改革委员会、财政部关于印发中小企业划型标准规定的通知》等的相关规定，本项目属于</w:t>
            </w:r>
            <w:r>
              <w:rPr>
                <w:rFonts w:hint="eastAsia" w:ascii="宋体" w:hAnsi="宋体"/>
                <w:color w:val="000000"/>
                <w:sz w:val="24"/>
                <w:szCs w:val="28"/>
                <w:highlight w:val="none"/>
                <w:u w:val="single"/>
                <w:lang w:eastAsia="zh-CN"/>
              </w:rPr>
              <w:t xml:space="preserve">服务</w:t>
            </w:r>
            <w:r>
              <w:rPr>
                <w:rFonts w:hint="eastAsia" w:ascii="宋体" w:hAnsi="宋体"/>
                <w:color w:val="000000"/>
                <w:sz w:val="24"/>
                <w:szCs w:val="28"/>
                <w:highlight w:val="none"/>
                <w:u w:val="single"/>
              </w:rPr>
              <w:t xml:space="preserve">类</w:t>
            </w:r>
            <w:r>
              <w:rPr>
                <w:rFonts w:hint="eastAsia" w:ascii="宋体" w:hAnsi="宋体"/>
                <w:color w:val="000000"/>
                <w:sz w:val="24"/>
                <w:szCs w:val="28"/>
                <w:highlight w:val="none"/>
              </w:rPr>
              <w:t xml:space="preserve">项目，采购标的对应的行业为</w:t>
            </w:r>
            <w:r>
              <w:rPr>
                <w:rFonts w:hint="eastAsia" w:ascii="宋体" w:hAnsi="宋体"/>
                <w:color w:val="000000"/>
                <w:sz w:val="24"/>
                <w:szCs w:val="28"/>
                <w:highlight w:val="none"/>
                <w:u w:val="single"/>
              </w:rPr>
              <w:t xml:space="preserve">信息传输业</w:t>
            </w:r>
            <w:r>
              <w:rPr>
                <w:rFonts w:hint="eastAsia" w:ascii="宋体" w:hAnsi="宋体"/>
                <w:color w:val="000000"/>
                <w:sz w:val="24"/>
                <w:szCs w:val="28"/>
                <w:highlight w:val="none"/>
              </w:rPr>
              <w:t xml:space="preserve">，本项目不专门面向中小微企业，如果本项目的</w:t>
            </w:r>
            <w:r>
              <w:rPr>
                <w:rFonts w:hint="eastAsia" w:ascii="宋体" w:hAnsi="宋体"/>
                <w:color w:val="000000"/>
                <w:sz w:val="24"/>
                <w:szCs w:val="28"/>
                <w:highlight w:val="none"/>
                <w:lang w:eastAsia="zh-CN"/>
              </w:rPr>
              <w:t xml:space="preserve">服务</w:t>
            </w:r>
            <w:r>
              <w:rPr>
                <w:rFonts w:hint="eastAsia" w:ascii="宋体" w:hAnsi="宋体"/>
                <w:color w:val="000000"/>
                <w:sz w:val="24"/>
                <w:szCs w:val="28"/>
                <w:highlight w:val="none"/>
              </w:rPr>
              <w:t xml:space="preserve">全部由小型或微型企业或视同小型和微型企业承接的，对其价格给予10%的调减，用调减后价格计算价格分。</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(3)根据《财政部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(4)根据《关于促进残疾人就业政府采购政策的通知》(财库〔2017〕141号)要求，残疾人福利性单位视同小型、微型企业。符合条件的残疾人福利性单位应当提供《残疾人福利性单位声明函》，并对声明的真实性负责。</w:t>
            </w:r>
            <w:r>
              <w:rPr>
                <w:rFonts w:ascii="宋体" w:hAnsi="宋体"/>
                <w:color w:val="000000"/>
                <w:sz w:val="24"/>
                <w:szCs w:val="28"/>
                <w:highlight w:val="none"/>
              </w:rPr>
            </w:r>
            <w:r/>
          </w:p>
          <w:p>
            <w:pPr>
              <w:pStyle w:val="1131"/>
              <w:ind w:firstLine="480"/>
              <w:rPr>
                <w:rFonts w:ascii="宋体" w:hAnsi="宋体" w:cs="宋体"/>
                <w:color w:val="000000"/>
                <w:sz w:val="24"/>
                <w:highlight w:val="none"/>
              </w:rPr>
            </w:pPr>
            <w:r>
              <w:rPr>
                <w:rFonts w:hint="eastAsia" w:ascii="宋体" w:hAnsi="宋体"/>
                <w:color w:val="000000"/>
                <w:sz w:val="24"/>
                <w:szCs w:val="28"/>
                <w:highlight w:val="none"/>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cs="宋体"/>
                <w:color w:val="000000"/>
                <w:sz w:val="24"/>
                <w:highlight w:val="none"/>
              </w:rPr>
            </w:r>
            <w:r/>
          </w:p>
        </w:tc>
      </w:tr>
      <w:tr>
        <w:trPr>
          <w:trHeight w:val="881"/>
        </w:trPr>
        <w:tc>
          <w:tcPr>
            <w:tcW w:w="422" w:type="dxa"/>
            <w:vAlign w:val="center"/>
            <w:textDirection w:val="lrTb"/>
            <w:noWrap/>
          </w:tcPr>
          <w:p>
            <w:pPr>
              <w:pStyle w:val="1131"/>
              <w:jc w:val="center"/>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r>
            <w:r/>
          </w:p>
        </w:tc>
        <w:tc>
          <w:tcPr>
            <w:tcW w:w="1002" w:type="dxa"/>
            <w:vAlign w:val="center"/>
            <w:textDirection w:val="lrTb"/>
            <w:noWrap/>
          </w:tcPr>
          <w:p>
            <w:pPr>
              <w:pStyle w:val="1131"/>
              <w:rPr>
                <w:rFonts w:ascii="宋体" w:hAnsi="宋体" w:cs="宋体"/>
                <w:color w:val="000000"/>
                <w:sz w:val="24"/>
                <w:highlight w:val="none"/>
              </w:rPr>
            </w:pPr>
            <w:r>
              <w:rPr>
                <w:rFonts w:hint="eastAsia" w:ascii="宋体" w:hAnsi="宋体" w:cs="宋体"/>
                <w:color w:val="000000"/>
                <w:sz w:val="24"/>
                <w:highlight w:val="none"/>
              </w:rPr>
              <w:t xml:space="preserve">本项目的特定资格要求</w:t>
            </w:r>
            <w:bookmarkEnd w:id="156"/>
            <w:r>
              <w:rPr>
                <w:rFonts w:ascii="宋体" w:hAnsi="宋体" w:cs="宋体"/>
                <w:color w:val="000000"/>
                <w:sz w:val="24"/>
                <w:highlight w:val="none"/>
              </w:rPr>
            </w:r>
            <w:r/>
          </w:p>
        </w:tc>
        <w:tc>
          <w:tcPr>
            <w:tcW w:w="3574" w:type="dxa"/>
            <w:vAlign w:val="center"/>
            <w:textDirection w:val="lrTb"/>
            <w:noWrap/>
          </w:tcPr>
          <w:p>
            <w:pPr>
              <w:pStyle w:val="1131"/>
              <w:rPr>
                <w:rFonts w:ascii="宋体" w:hAnsi="宋体" w:cs="宋体"/>
                <w:color w:val="000000"/>
                <w:sz w:val="24"/>
                <w:highlight w:val="none"/>
              </w:rPr>
            </w:pPr>
            <w:r>
              <w:rPr>
                <w:rFonts w:hint="eastAsia" w:ascii="宋体" w:hAnsi="宋体"/>
                <w:color w:val="000000"/>
                <w:sz w:val="24"/>
                <w:szCs w:val="28"/>
                <w:highlight w:val="none"/>
              </w:rPr>
              <w:t xml:space="preserve">/</w:t>
            </w:r>
            <w:r>
              <w:rPr>
                <w:rFonts w:ascii="宋体" w:hAnsi="宋体" w:cs="宋体"/>
                <w:color w:val="000000"/>
                <w:sz w:val="24"/>
                <w:highlight w:val="none"/>
              </w:rPr>
            </w:r>
            <w:r/>
          </w:p>
        </w:tc>
      </w:tr>
    </w:tbl>
    <w:p>
      <w:pPr>
        <w:pStyle w:val="1131"/>
        <w:spacing w:line="360" w:lineRule="auto"/>
        <w:rPr>
          <w:b/>
          <w:bCs/>
          <w:color w:val="000000"/>
          <w:sz w:val="30"/>
          <w:szCs w:val="30"/>
          <w:highlight w:val="none"/>
        </w:rPr>
        <w:outlineLvl w:val="2"/>
      </w:pPr>
      <w:r>
        <w:rPr>
          <w:rFonts w:hint="eastAsia"/>
          <w:b/>
          <w:bCs/>
          <w:color w:val="000000"/>
          <w:sz w:val="30"/>
          <w:szCs w:val="30"/>
          <w:highlight w:val="none"/>
        </w:rPr>
        <w:t xml:space="preserve">7</w:t>
      </w:r>
      <w:r>
        <w:rPr>
          <w:rFonts w:hint="eastAsia"/>
          <w:color w:val="000000"/>
          <w:sz w:val="30"/>
          <w:highlight w:val="none"/>
        </w:rPr>
        <w:t xml:space="preserve">．</w:t>
      </w:r>
      <w:r>
        <w:rPr>
          <w:rFonts w:hint="eastAsia"/>
          <w:b/>
          <w:bCs/>
          <w:color w:val="000000"/>
          <w:sz w:val="30"/>
          <w:szCs w:val="30"/>
          <w:highlight w:val="none"/>
        </w:rPr>
        <w:t xml:space="preserve">投标人符合性审查</w:t>
      </w:r>
      <w:r>
        <w:rPr>
          <w:b/>
          <w:bCs/>
          <w:color w:val="000000"/>
          <w:sz w:val="30"/>
          <w:szCs w:val="30"/>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7.1评标委员会将对符合资格的投标人的投标文件进行符合性审查，审查内容主要是投标文件的有效性和对招标文件的响应程度，以确定是否满足招标文件的实质性要求。</w:t>
      </w:r>
      <w:r>
        <w:rPr>
          <w:color w:val="000000"/>
          <w:sz w:val="24"/>
          <w:szCs w:val="24"/>
          <w:highlight w:val="none"/>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36"/>
        <w:gridCol w:w="1742"/>
        <w:gridCol w:w="7192"/>
      </w:tblGrid>
      <w:tr>
        <w:trPr/>
        <w:tc>
          <w:tcPr>
            <w:tcMar>
              <w:top w:w="100" w:type="dxa"/>
              <w:bottom w:w="100" w:type="dxa"/>
            </w:tcMar>
            <w:tcW w:w="567" w:type="dxa"/>
            <w:vAlign w:val="center"/>
            <w:textDirection w:val="lrTb"/>
            <w:noWrap/>
          </w:tcPr>
          <w:p>
            <w:pPr>
              <w:pStyle w:val="1627"/>
              <w:jc w:val="center"/>
              <w:rPr>
                <w:rFonts w:ascii="宋体" w:hAnsi="宋体" w:eastAsia="宋体" w:cs="宋体"/>
                <w:color w:val="000000"/>
                <w:highlight w:val="none"/>
              </w:rPr>
            </w:pPr>
            <w:r/>
            <w:bookmarkStart w:id="157" w:name="EB87083774bb4548d6a56ff1c4a9da9b5f"/>
            <w:r>
              <w:rPr>
                <w:rFonts w:ascii="宋体" w:hAnsi="宋体" w:eastAsia="宋体" w:cs="宋体"/>
                <w:color w:val="000000"/>
                <w:highlight w:val="none"/>
              </w:rPr>
              <w:t xml:space="preserve">序号</w:t>
            </w:r>
            <w:r>
              <w:rPr>
                <w:rFonts w:ascii="宋体" w:hAnsi="宋体" w:eastAsia="宋体" w:cs="宋体"/>
                <w:color w:val="000000"/>
                <w:highlight w:val="none"/>
              </w:rPr>
            </w:r>
            <w:r/>
          </w:p>
        </w:tc>
        <w:tc>
          <w:tcPr>
            <w:tcMar>
              <w:top w:w="100" w:type="dxa"/>
              <w:bottom w:w="100" w:type="dxa"/>
            </w:tcMar>
            <w:tcW w:w="1551" w:type="dxa"/>
            <w:vAlign w:val="center"/>
            <w:textDirection w:val="lrTb"/>
            <w:noWrap/>
          </w:tcPr>
          <w:p>
            <w:pPr>
              <w:pStyle w:val="1627"/>
              <w:jc w:val="center"/>
              <w:rPr>
                <w:rFonts w:ascii="宋体" w:hAnsi="宋体" w:eastAsia="宋体" w:cs="宋体"/>
                <w:color w:val="000000"/>
                <w:highlight w:val="none"/>
              </w:rPr>
            </w:pPr>
            <w:r>
              <w:rPr>
                <w:rFonts w:ascii="宋体" w:hAnsi="宋体" w:eastAsia="宋体" w:cs="宋体"/>
                <w:color w:val="000000"/>
                <w:highlight w:val="none"/>
              </w:rPr>
              <w:t xml:space="preserve">审查要素</w:t>
            </w:r>
            <w:r>
              <w:rPr>
                <w:rFonts w:ascii="宋体" w:hAnsi="宋体" w:eastAsia="宋体" w:cs="宋体"/>
                <w:color w:val="000000"/>
                <w:highlight w:val="none"/>
              </w:rPr>
            </w:r>
            <w:r/>
          </w:p>
        </w:tc>
        <w:tc>
          <w:tcPr>
            <w:tcMar>
              <w:top w:w="100" w:type="dxa"/>
              <w:bottom w:w="100" w:type="dxa"/>
            </w:tcMar>
            <w:tcW w:w="6404" w:type="dxa"/>
            <w:vAlign w:val="center"/>
            <w:textDirection w:val="lrTb"/>
            <w:noWrap/>
          </w:tcPr>
          <w:p>
            <w:pPr>
              <w:pStyle w:val="1627"/>
              <w:jc w:val="center"/>
              <w:rPr>
                <w:rFonts w:ascii="宋体" w:hAnsi="宋体" w:eastAsia="宋体" w:cs="宋体"/>
                <w:color w:val="000000"/>
                <w:highlight w:val="none"/>
              </w:rPr>
            </w:pPr>
            <w:r>
              <w:rPr>
                <w:rFonts w:ascii="宋体" w:hAnsi="宋体" w:eastAsia="宋体" w:cs="宋体"/>
                <w:color w:val="000000"/>
                <w:highlight w:val="none"/>
              </w:rPr>
              <w:t xml:space="preserve">审查内容</w:t>
            </w:r>
            <w:r>
              <w:rPr>
                <w:rFonts w:ascii="宋体" w:hAnsi="宋体" w:eastAsia="宋体" w:cs="宋体"/>
                <w:color w:val="000000"/>
                <w:highlight w:val="none"/>
              </w:rPr>
            </w:r>
            <w:r/>
          </w:p>
        </w:tc>
      </w:tr>
      <w:tr>
        <w:trPr/>
        <w:tc>
          <w:tcPr>
            <w:tcMar>
              <w:top w:w="100" w:type="dxa"/>
              <w:bottom w:w="100" w:type="dxa"/>
            </w:tcMar>
            <w:tcW w:w="567" w:type="dxa"/>
            <w:vAlign w:val="center"/>
            <w:textDirection w:val="lrTb"/>
            <w:noWrap/>
          </w:tcPr>
          <w:p>
            <w:pPr>
              <w:pStyle w:val="1627"/>
              <w:jc w:val="center"/>
              <w:rPr>
                <w:rFonts w:ascii="宋体" w:hAnsi="宋体" w:eastAsia="宋体" w:cs="宋体"/>
                <w:color w:val="000000"/>
                <w:highlight w:val="none"/>
              </w:rPr>
            </w:pPr>
            <w:r>
              <w:rPr>
                <w:rFonts w:ascii="宋体" w:hAnsi="宋体" w:eastAsia="宋体" w:cs="宋体"/>
                <w:color w:val="000000"/>
                <w:highlight w:val="none"/>
              </w:rPr>
              <w:t xml:space="preserve">1</w:t>
            </w:r>
            <w:r>
              <w:rPr>
                <w:rFonts w:ascii="宋体" w:hAnsi="宋体" w:eastAsia="宋体" w:cs="宋体"/>
                <w:color w:val="000000"/>
                <w:highlight w:val="none"/>
              </w:rPr>
            </w:r>
            <w:r/>
          </w:p>
        </w:tc>
        <w:tc>
          <w:tcPr>
            <w:tcMar>
              <w:top w:w="100" w:type="dxa"/>
              <w:bottom w:w="100" w:type="dxa"/>
            </w:tcMar>
            <w:tcW w:w="1551" w:type="dxa"/>
            <w:vAlign w:val="center"/>
            <w:textDirection w:val="lrTb"/>
            <w:noWrap/>
          </w:tcPr>
          <w:p>
            <w:pPr>
              <w:pStyle w:val="1627"/>
              <w:jc w:val="center"/>
              <w:rPr>
                <w:rFonts w:ascii="宋体" w:hAnsi="宋体" w:eastAsia="宋体" w:cs="宋体"/>
                <w:color w:val="000000"/>
                <w:highlight w:val="none"/>
              </w:rPr>
            </w:pPr>
            <w:r>
              <w:rPr>
                <w:rFonts w:ascii="宋体" w:hAnsi="宋体" w:eastAsia="宋体" w:cs="宋体"/>
                <w:color w:val="000000"/>
                <w:highlight w:val="none"/>
              </w:rPr>
              <w:t xml:space="preserve">投标文件有效性</w:t>
            </w:r>
            <w:r>
              <w:rPr>
                <w:rFonts w:ascii="宋体" w:hAnsi="宋体" w:eastAsia="宋体" w:cs="宋体"/>
                <w:color w:val="000000"/>
                <w:highlight w:val="none"/>
              </w:rPr>
            </w:r>
            <w:r/>
          </w:p>
        </w:tc>
        <w:tc>
          <w:tcPr>
            <w:tcMar>
              <w:top w:w="100" w:type="dxa"/>
              <w:bottom w:w="100" w:type="dxa"/>
            </w:tcMar>
            <w:tcW w:w="6404" w:type="dxa"/>
            <w:vAlign w:val="center"/>
            <w:textDirection w:val="lrTb"/>
            <w:noWrap/>
          </w:tcPr>
          <w:p>
            <w:pPr>
              <w:pStyle w:val="1627"/>
              <w:jc w:val="both"/>
              <w:rPr>
                <w:rFonts w:ascii="宋体" w:hAnsi="宋体" w:eastAsia="宋体" w:cs="宋体"/>
                <w:color w:val="000000"/>
                <w:highlight w:val="none"/>
              </w:rPr>
            </w:pPr>
            <w:r>
              <w:rPr>
                <w:rFonts w:ascii="宋体" w:hAnsi="宋体" w:eastAsia="宋体" w:cs="宋体"/>
                <w:color w:val="000000"/>
                <w:highlight w:val="none"/>
              </w:rPr>
              <w:t xml:space="preserve">电子投标文件的有效电子签章。投标报价。未发现属无效投标的其他情形。</w:t>
            </w:r>
            <w:r>
              <w:rPr>
                <w:rFonts w:ascii="宋体" w:hAnsi="宋体" w:eastAsia="宋体" w:cs="宋体"/>
                <w:color w:val="000000"/>
                <w:highlight w:val="none"/>
              </w:rPr>
            </w:r>
            <w:r/>
          </w:p>
        </w:tc>
      </w:tr>
      <w:tr>
        <w:trPr>
          <w:trHeight w:val="1036"/>
        </w:trPr>
        <w:tc>
          <w:tcPr>
            <w:tcMar>
              <w:top w:w="100" w:type="dxa"/>
              <w:bottom w:w="100" w:type="dxa"/>
            </w:tcMar>
            <w:tcW w:w="567" w:type="dxa"/>
            <w:vAlign w:val="center"/>
            <w:textDirection w:val="lrTb"/>
            <w:noWrap/>
          </w:tcPr>
          <w:p>
            <w:pPr>
              <w:pStyle w:val="1627"/>
              <w:jc w:val="center"/>
              <w:rPr>
                <w:rFonts w:ascii="宋体" w:hAnsi="宋体" w:eastAsia="宋体" w:cs="宋体"/>
                <w:color w:val="000000"/>
                <w:highlight w:val="none"/>
              </w:rPr>
            </w:pPr>
            <w:r>
              <w:rPr>
                <w:rFonts w:hint="eastAsia" w:ascii="宋体" w:hAnsi="宋体" w:eastAsia="宋体" w:cs="宋体"/>
                <w:color w:val="000000"/>
                <w:highlight w:val="none"/>
              </w:rPr>
              <w:t xml:space="preserve">2</w:t>
            </w:r>
            <w:r>
              <w:rPr>
                <w:rFonts w:ascii="宋体" w:hAnsi="宋体" w:eastAsia="宋体" w:cs="宋体"/>
                <w:color w:val="000000"/>
                <w:highlight w:val="none"/>
              </w:rPr>
            </w:r>
            <w:r/>
          </w:p>
        </w:tc>
        <w:tc>
          <w:tcPr>
            <w:tcMar>
              <w:top w:w="100" w:type="dxa"/>
              <w:bottom w:w="100" w:type="dxa"/>
            </w:tcMar>
            <w:tcW w:w="1551" w:type="dxa"/>
            <w:vAlign w:val="center"/>
            <w:textDirection w:val="lrTb"/>
            <w:noWrap/>
          </w:tcPr>
          <w:p>
            <w:pPr>
              <w:pStyle w:val="1627"/>
              <w:jc w:val="center"/>
              <w:rPr>
                <w:rFonts w:ascii="宋体" w:hAnsi="宋体" w:eastAsia="宋体" w:cs="宋体"/>
                <w:color w:val="000000"/>
                <w:highlight w:val="none"/>
              </w:rPr>
            </w:pPr>
            <w:r>
              <w:rPr>
                <w:rFonts w:ascii="宋体" w:hAnsi="宋体" w:eastAsia="宋体" w:cs="宋体"/>
                <w:color w:val="000000"/>
                <w:highlight w:val="none"/>
              </w:rPr>
              <w:t xml:space="preserve">对招标文件响应程度</w:t>
            </w:r>
            <w:r>
              <w:rPr>
                <w:rFonts w:ascii="宋体" w:hAnsi="宋体" w:eastAsia="宋体" w:cs="宋体"/>
                <w:color w:val="000000"/>
                <w:highlight w:val="none"/>
              </w:rPr>
            </w:r>
            <w:r/>
          </w:p>
        </w:tc>
        <w:tc>
          <w:tcPr>
            <w:tcMar>
              <w:top w:w="100" w:type="dxa"/>
              <w:bottom w:w="100" w:type="dxa"/>
            </w:tcMar>
            <w:tcW w:w="6404" w:type="dxa"/>
            <w:vAlign w:val="center"/>
            <w:textDirection w:val="lrTb"/>
            <w:noWrap/>
          </w:tcPr>
          <w:p>
            <w:pPr>
              <w:pStyle w:val="1627"/>
              <w:jc w:val="both"/>
              <w:rPr>
                <w:rFonts w:ascii="宋体" w:hAnsi="宋体" w:eastAsia="宋体" w:cs="宋体"/>
                <w:color w:val="000000"/>
                <w:highlight w:val="none"/>
              </w:rPr>
            </w:pPr>
            <w:r>
              <w:rPr>
                <w:rFonts w:ascii="宋体" w:hAnsi="宋体" w:eastAsia="宋体" w:cs="宋体"/>
                <w:color w:val="000000"/>
                <w:highlight w:val="none"/>
              </w:rPr>
              <w:t xml:space="preserve">审查投标文件与招标文件要求的主要条款、条件和技术规格是否相符，是否存在重大偏离或保留。</w:t>
            </w:r>
            <w:bookmarkEnd w:id="157"/>
            <w:r>
              <w:rPr>
                <w:rFonts w:ascii="宋体" w:hAnsi="宋体" w:eastAsia="宋体" w:cs="宋体"/>
                <w:color w:val="000000"/>
                <w:highlight w:val="none"/>
              </w:rPr>
            </w:r>
            <w:r/>
          </w:p>
        </w:tc>
      </w:tr>
    </w:tbl>
    <w:p>
      <w:pPr>
        <w:pStyle w:val="1131"/>
        <w:ind w:firstLine="480"/>
        <w:spacing w:line="360" w:lineRule="auto"/>
        <w:rPr>
          <w:color w:val="000000"/>
          <w:sz w:val="24"/>
          <w:szCs w:val="24"/>
          <w:highlight w:val="none"/>
        </w:rPr>
      </w:pP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rPr>
          <w:color w:val="000000"/>
          <w:sz w:val="24"/>
          <w:szCs w:val="24"/>
          <w:highlight w:val="none"/>
        </w:rPr>
      </w:r>
      <w:r/>
    </w:p>
    <w:p>
      <w:pPr>
        <w:pStyle w:val="1131"/>
        <w:ind w:firstLine="480"/>
        <w:spacing w:line="360" w:lineRule="auto"/>
        <w:rPr>
          <w:color w:val="000000"/>
          <w:sz w:val="24"/>
          <w:szCs w:val="24"/>
          <w:highlight w:val="none"/>
        </w:rPr>
      </w:pPr>
      <w:r/>
      <w:bookmarkStart w:id="158" w:name="EBbfc769a57ec54019adb091b37179f10e"/>
      <w:r>
        <w:rPr>
          <w:rFonts w:hint="eastAsia"/>
          <w:color w:val="000000"/>
          <w:sz w:val="24"/>
          <w:szCs w:val="24"/>
          <w:highlight w:val="none"/>
        </w:rPr>
        <w:t xml:space="preserve">投标人存在下列情况之一的，其投标无效：</w:t>
      </w:r>
      <w:bookmarkEnd w:id="158"/>
      <w:r>
        <w:rPr>
          <w:color w:val="000000"/>
          <w:sz w:val="24"/>
          <w:szCs w:val="24"/>
          <w:highlight w:val="none"/>
        </w:rPr>
      </w:r>
      <w:r/>
    </w:p>
    <w:p>
      <w:pPr>
        <w:pStyle w:val="1131"/>
        <w:ind w:firstLine="482"/>
        <w:spacing w:line="360" w:lineRule="auto"/>
        <w:rPr>
          <w:b/>
          <w:bCs/>
          <w:color w:val="000000"/>
          <w:sz w:val="24"/>
          <w:szCs w:val="24"/>
          <w:highlight w:val="none"/>
          <w:u w:val="single"/>
        </w:rPr>
      </w:pPr>
      <w:r>
        <w:rPr>
          <w:rFonts w:hint="eastAsia"/>
          <w:b/>
          <w:bCs/>
          <w:color w:val="000000"/>
          <w:sz w:val="24"/>
          <w:szCs w:val="24"/>
          <w:highlight w:val="none"/>
          <w:u w:val="single"/>
        </w:rPr>
        <w:t xml:space="preserve">（1）投标文件未按招标文件要求进行有效签章的；</w:t>
      </w:r>
      <w:r>
        <w:rPr>
          <w:b/>
          <w:bCs/>
          <w:color w:val="000000"/>
          <w:sz w:val="24"/>
          <w:szCs w:val="24"/>
          <w:highlight w:val="none"/>
          <w:u w:val="single"/>
        </w:rPr>
      </w:r>
      <w:r/>
    </w:p>
    <w:p>
      <w:pPr>
        <w:pStyle w:val="1131"/>
        <w:ind w:firstLine="482"/>
        <w:spacing w:line="360" w:lineRule="auto"/>
        <w:rPr>
          <w:b/>
          <w:bCs/>
          <w:color w:val="000000"/>
          <w:sz w:val="24"/>
          <w:szCs w:val="24"/>
          <w:highlight w:val="none"/>
          <w:u w:val="single"/>
        </w:rPr>
      </w:pPr>
      <w:r>
        <w:rPr>
          <w:rFonts w:hint="eastAsia"/>
          <w:b/>
          <w:bCs/>
          <w:color w:val="000000"/>
          <w:sz w:val="24"/>
          <w:szCs w:val="24"/>
          <w:highlight w:val="none"/>
          <w:u w:val="single"/>
        </w:rPr>
        <w:t xml:space="preserve">（2）报价超过招标文件中规定的预算金额或最高限价的；</w:t>
      </w:r>
      <w:r>
        <w:rPr>
          <w:b/>
          <w:bCs/>
          <w:color w:val="000000"/>
          <w:sz w:val="24"/>
          <w:szCs w:val="24"/>
          <w:highlight w:val="none"/>
          <w:u w:val="single"/>
        </w:rPr>
      </w:r>
      <w:r/>
    </w:p>
    <w:p>
      <w:pPr>
        <w:pStyle w:val="1131"/>
        <w:ind w:firstLine="482"/>
        <w:spacing w:line="360" w:lineRule="auto"/>
        <w:rPr>
          <w:b/>
          <w:bCs/>
          <w:color w:val="000000"/>
          <w:sz w:val="24"/>
          <w:szCs w:val="24"/>
          <w:highlight w:val="none"/>
          <w:u w:val="single"/>
        </w:rPr>
      </w:pPr>
      <w:r>
        <w:rPr>
          <w:rFonts w:hint="eastAsia"/>
          <w:b/>
          <w:bCs/>
          <w:color w:val="000000"/>
          <w:sz w:val="24"/>
          <w:szCs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rPr>
          <w:b/>
          <w:bCs/>
          <w:color w:val="000000"/>
          <w:sz w:val="24"/>
          <w:szCs w:val="24"/>
          <w:highlight w:val="none"/>
          <w:u w:val="single"/>
        </w:rPr>
      </w:r>
      <w:r/>
    </w:p>
    <w:p>
      <w:pPr>
        <w:pStyle w:val="1131"/>
        <w:ind w:firstLine="482"/>
        <w:spacing w:line="360" w:lineRule="auto"/>
        <w:rPr>
          <w:b/>
          <w:bCs/>
          <w:color w:val="000000"/>
          <w:sz w:val="24"/>
          <w:szCs w:val="24"/>
          <w:highlight w:val="none"/>
          <w:u w:val="single"/>
        </w:rPr>
      </w:pPr>
      <w:r>
        <w:rPr>
          <w:rFonts w:hint="eastAsia"/>
          <w:b/>
          <w:bCs/>
          <w:color w:val="000000"/>
          <w:sz w:val="24"/>
          <w:szCs w:val="24"/>
          <w:highlight w:val="none"/>
          <w:u w:val="single"/>
        </w:rPr>
        <w:t xml:space="preserve">（4）投标文件含有采购人不能接受的附加条件的；</w:t>
      </w:r>
      <w:r>
        <w:rPr>
          <w:b/>
          <w:bCs/>
          <w:color w:val="000000"/>
          <w:sz w:val="24"/>
          <w:szCs w:val="24"/>
          <w:highlight w:val="none"/>
          <w:u w:val="single"/>
        </w:rPr>
      </w:r>
      <w:r/>
    </w:p>
    <w:p>
      <w:pPr>
        <w:pStyle w:val="1131"/>
        <w:ind w:firstLine="482"/>
        <w:spacing w:line="360" w:lineRule="auto"/>
        <w:rPr>
          <w:b/>
          <w:bCs/>
          <w:color w:val="000000"/>
          <w:sz w:val="24"/>
          <w:szCs w:val="24"/>
          <w:highlight w:val="none"/>
          <w:u w:val="single"/>
        </w:rPr>
      </w:pPr>
      <w:r>
        <w:rPr>
          <w:rFonts w:hint="eastAsia"/>
          <w:b/>
          <w:bCs/>
          <w:color w:val="000000"/>
          <w:sz w:val="24"/>
          <w:szCs w:val="24"/>
          <w:highlight w:val="none"/>
          <w:u w:val="single"/>
        </w:rPr>
        <w:t xml:space="preserve">（5）评标委员会认为投标人的报价明显低于其他通过符合性审查投标人的报价，有可能影响服务质量或者不能诚信履约，要求投标人在合理的时间内提供书面说明，必要时提交相关证明材料，投标人不能证明其报价合理性的；</w:t>
      </w:r>
      <w:r>
        <w:rPr>
          <w:b/>
          <w:bCs/>
          <w:color w:val="000000"/>
          <w:sz w:val="24"/>
          <w:szCs w:val="24"/>
          <w:highlight w:val="none"/>
          <w:u w:val="single"/>
        </w:rPr>
      </w:r>
      <w:r/>
    </w:p>
    <w:p>
      <w:pPr>
        <w:pStyle w:val="1131"/>
        <w:ind w:firstLine="482"/>
        <w:spacing w:line="360" w:lineRule="auto"/>
        <w:rPr>
          <w:b/>
          <w:bCs/>
          <w:color w:val="000000"/>
          <w:sz w:val="24"/>
          <w:szCs w:val="24"/>
          <w:highlight w:val="none"/>
          <w:u w:val="single"/>
        </w:rPr>
      </w:pPr>
      <w:r>
        <w:rPr>
          <w:rFonts w:hint="eastAsia"/>
          <w:b/>
          <w:bCs/>
          <w:color w:val="000000"/>
          <w:sz w:val="24"/>
          <w:szCs w:val="24"/>
          <w:highlight w:val="none"/>
          <w:u w:val="single"/>
        </w:rPr>
        <w:t xml:space="preserve">（6）投标人对根据修正原则修正后的报价不确认的；</w:t>
      </w:r>
      <w:r>
        <w:rPr>
          <w:b/>
          <w:bCs/>
          <w:color w:val="000000"/>
          <w:sz w:val="24"/>
          <w:szCs w:val="24"/>
          <w:highlight w:val="none"/>
          <w:u w:val="single"/>
        </w:rPr>
      </w:r>
      <w:r/>
    </w:p>
    <w:p>
      <w:pPr>
        <w:pStyle w:val="1131"/>
        <w:ind w:firstLine="482"/>
        <w:spacing w:line="360" w:lineRule="auto"/>
        <w:rPr>
          <w:b/>
          <w:bCs/>
          <w:color w:val="000000"/>
          <w:sz w:val="24"/>
          <w:szCs w:val="24"/>
          <w:highlight w:val="none"/>
          <w:u w:val="single"/>
        </w:rPr>
      </w:pPr>
      <w:r>
        <w:rPr>
          <w:rFonts w:hint="eastAsia"/>
          <w:b/>
          <w:bCs/>
          <w:color w:val="000000"/>
          <w:sz w:val="24"/>
          <w:szCs w:val="24"/>
          <w:highlight w:val="none"/>
          <w:u w:val="single"/>
        </w:rPr>
        <w:t xml:space="preserve">（7）投标文件中提供了虚假或失实资料的；</w:t>
      </w:r>
      <w:r>
        <w:rPr>
          <w:b/>
          <w:bCs/>
          <w:color w:val="000000"/>
          <w:sz w:val="24"/>
          <w:szCs w:val="24"/>
          <w:highlight w:val="none"/>
          <w:u w:val="single"/>
        </w:rPr>
      </w:r>
      <w:r/>
    </w:p>
    <w:p>
      <w:pPr>
        <w:pStyle w:val="1131"/>
        <w:ind w:firstLine="482"/>
        <w:spacing w:line="360" w:lineRule="auto"/>
        <w:rPr>
          <w:b/>
          <w:bCs/>
          <w:color w:val="000000"/>
          <w:sz w:val="24"/>
          <w:szCs w:val="24"/>
          <w:highlight w:val="none"/>
          <w:u w:val="single"/>
        </w:rPr>
      </w:pPr>
      <w:r>
        <w:rPr>
          <w:rFonts w:hint="eastAsia"/>
          <w:b/>
          <w:bCs/>
          <w:color w:val="000000"/>
          <w:sz w:val="24"/>
          <w:szCs w:val="24"/>
          <w:highlight w:val="none"/>
          <w:u w:val="single"/>
        </w:rPr>
        <w:t xml:space="preserve">（8）不同投标人的电子投标文件出自同一台电脑；</w:t>
      </w:r>
      <w:r>
        <w:rPr>
          <w:b/>
          <w:bCs/>
          <w:color w:val="000000"/>
          <w:sz w:val="24"/>
          <w:szCs w:val="24"/>
          <w:highlight w:val="none"/>
          <w:u w:val="single"/>
        </w:rPr>
      </w:r>
      <w:r/>
    </w:p>
    <w:p>
      <w:pPr>
        <w:pStyle w:val="1131"/>
        <w:ind w:firstLine="482"/>
        <w:spacing w:line="360" w:lineRule="auto"/>
        <w:rPr>
          <w:b/>
          <w:bCs/>
          <w:color w:val="000000"/>
          <w:sz w:val="24"/>
          <w:szCs w:val="24"/>
          <w:highlight w:val="none"/>
          <w:u w:val="single"/>
        </w:rPr>
      </w:pPr>
      <w:r>
        <w:rPr>
          <w:rFonts w:hint="eastAsia"/>
          <w:b/>
          <w:bCs/>
          <w:color w:val="000000"/>
          <w:sz w:val="24"/>
          <w:szCs w:val="24"/>
          <w:highlight w:val="none"/>
          <w:u w:val="single"/>
        </w:rPr>
        <w:t xml:space="preserve">（9）投标人存在串通投标情形的；</w:t>
      </w:r>
      <w:r>
        <w:rPr>
          <w:b/>
          <w:bCs/>
          <w:color w:val="000000"/>
          <w:sz w:val="24"/>
          <w:szCs w:val="24"/>
          <w:highlight w:val="none"/>
          <w:u w:val="single"/>
        </w:rPr>
      </w:r>
      <w:r/>
    </w:p>
    <w:p>
      <w:pPr>
        <w:pStyle w:val="1131"/>
        <w:ind w:firstLine="482"/>
        <w:spacing w:line="360" w:lineRule="auto"/>
        <w:rPr>
          <w:b/>
          <w:bCs/>
          <w:color w:val="000000"/>
          <w:sz w:val="24"/>
          <w:szCs w:val="24"/>
          <w:highlight w:val="none"/>
          <w:u w:val="single"/>
        </w:rPr>
      </w:pPr>
      <w:r>
        <w:rPr>
          <w:rFonts w:hint="eastAsia"/>
          <w:b/>
          <w:bCs/>
          <w:color w:val="000000"/>
          <w:sz w:val="24"/>
          <w:szCs w:val="24"/>
          <w:highlight w:val="none"/>
          <w:u w:val="single"/>
        </w:rPr>
        <w:t xml:space="preserve">（10）为本项目提供整体设计、规范编制或者项目管理、监理、检测等服务的；</w:t>
      </w:r>
      <w:r>
        <w:rPr>
          <w:b/>
          <w:bCs/>
          <w:color w:val="000000"/>
          <w:sz w:val="24"/>
          <w:szCs w:val="24"/>
          <w:highlight w:val="none"/>
          <w:u w:val="single"/>
        </w:rPr>
      </w:r>
      <w:r/>
    </w:p>
    <w:p>
      <w:pPr>
        <w:pStyle w:val="1131"/>
        <w:ind w:firstLine="482"/>
        <w:spacing w:line="360" w:lineRule="auto"/>
        <w:rPr>
          <w:b/>
          <w:bCs/>
          <w:color w:val="000000"/>
          <w:sz w:val="24"/>
          <w:szCs w:val="24"/>
          <w:highlight w:val="none"/>
          <w:u w:val="single"/>
        </w:rPr>
      </w:pPr>
      <w:r>
        <w:rPr>
          <w:rFonts w:hint="eastAsia"/>
          <w:b/>
          <w:bCs/>
          <w:color w:val="000000"/>
          <w:sz w:val="24"/>
          <w:szCs w:val="24"/>
          <w:highlight w:val="none"/>
          <w:u w:val="single"/>
        </w:rPr>
        <w:t xml:space="preserve">（11）不同投标人的法定代表人或单位负责人为同一个人或者存在直接控股、管理关系的；</w:t>
      </w:r>
      <w:r>
        <w:rPr>
          <w:b/>
          <w:bCs/>
          <w:color w:val="000000"/>
          <w:sz w:val="24"/>
          <w:szCs w:val="24"/>
          <w:highlight w:val="none"/>
          <w:u w:val="single"/>
        </w:rPr>
      </w:r>
      <w:r/>
    </w:p>
    <w:p>
      <w:pPr>
        <w:pStyle w:val="1131"/>
        <w:ind w:firstLine="482"/>
        <w:spacing w:line="360" w:lineRule="auto"/>
        <w:rPr>
          <w:b/>
          <w:bCs/>
          <w:color w:val="000000"/>
          <w:sz w:val="24"/>
          <w:szCs w:val="24"/>
          <w:highlight w:val="none"/>
          <w:u w:val="single"/>
        </w:rPr>
      </w:pPr>
      <w:r>
        <w:rPr>
          <w:rFonts w:hint="eastAsia"/>
          <w:b/>
          <w:bCs/>
          <w:color w:val="000000"/>
          <w:sz w:val="24"/>
          <w:szCs w:val="24"/>
          <w:highlight w:val="none"/>
          <w:u w:val="single"/>
        </w:rPr>
        <w:t xml:space="preserve">（12）投标文件不满足招标文件的其它实质性要求的；</w:t>
      </w:r>
      <w:r>
        <w:rPr>
          <w:b/>
          <w:bCs/>
          <w:color w:val="000000"/>
          <w:sz w:val="24"/>
          <w:szCs w:val="24"/>
          <w:highlight w:val="none"/>
          <w:u w:val="single"/>
        </w:rPr>
      </w:r>
      <w:r/>
    </w:p>
    <w:p>
      <w:pPr>
        <w:pStyle w:val="1131"/>
        <w:ind w:firstLine="480"/>
        <w:spacing w:line="360" w:lineRule="auto"/>
        <w:rPr>
          <w:rFonts w:ascii="宋体" w:hAnsi="宋体" w:cs="宋体"/>
          <w:color w:val="000000"/>
          <w:sz w:val="24"/>
          <w:szCs w:val="24"/>
          <w:highlight w:val="none"/>
        </w:rPr>
      </w:pPr>
      <w:r>
        <w:rPr>
          <w:rFonts w:hint="eastAsia"/>
          <w:b/>
          <w:bCs/>
          <w:color w:val="000000"/>
          <w:sz w:val="24"/>
          <w:szCs w:val="24"/>
          <w:highlight w:val="none"/>
          <w:u w:val="single"/>
        </w:rPr>
        <w:t xml:space="preserve">（13）法律、法规、规章（适用本市的）及省级以上规范性文件（适用本市的）规定的其他无效情形。</w:t>
      </w:r>
      <w:r>
        <w:rPr>
          <w:rFonts w:ascii="宋体" w:hAnsi="宋体" w:cs="宋体"/>
          <w:color w:val="000000"/>
          <w:sz w:val="24"/>
          <w:szCs w:val="24"/>
          <w:highlight w:val="none"/>
        </w:rPr>
      </w:r>
      <w:r/>
    </w:p>
    <w:p>
      <w:pPr>
        <w:pStyle w:val="1333"/>
        <w:ind w:firstLine="643"/>
        <w:jc w:val="left"/>
        <w:spacing w:before="0" w:after="0" w:line="360" w:lineRule="auto"/>
        <w:rPr>
          <w:rFonts w:ascii="宋体" w:hAnsi="宋体" w:eastAsia="宋体" w:cs="宋体"/>
          <w:bCs/>
          <w:color w:val="000000"/>
          <w:szCs w:val="24"/>
          <w:highlight w:val="none"/>
        </w:rPr>
      </w:pPr>
      <w:r/>
      <w:bookmarkStart w:id="159" w:name="_Toc142925674"/>
      <w:r/>
      <w:bookmarkStart w:id="160" w:name="_Toc73364906"/>
      <w:r/>
      <w:bookmarkStart w:id="161" w:name="_Toc73365519"/>
      <w:r>
        <w:rPr>
          <w:rFonts w:hint="eastAsia" w:ascii="宋体" w:hAnsi="宋体" w:eastAsia="宋体" w:cs="宋体"/>
          <w:color w:val="000000"/>
          <w:szCs w:val="24"/>
          <w:highlight w:val="none"/>
        </w:rPr>
        <w:t xml:space="preserve">8．</w:t>
      </w:r>
      <w:bookmarkEnd w:id="159"/>
      <w:r/>
      <w:bookmarkEnd w:id="160"/>
      <w:r/>
      <w:bookmarkEnd w:id="161"/>
      <w:r>
        <w:rPr>
          <w:rFonts w:hint="eastAsia" w:ascii="宋体" w:hAnsi="宋体" w:eastAsia="宋体" w:cs="宋体"/>
          <w:bCs/>
          <w:color w:val="000000"/>
          <w:szCs w:val="24"/>
          <w:highlight w:val="none"/>
        </w:rPr>
        <w:t xml:space="preserve">商务和技术评估</w:t>
      </w:r>
      <w:r>
        <w:rPr>
          <w:rFonts w:ascii="宋体" w:hAnsi="宋体" w:eastAsia="宋体" w:cs="宋体"/>
          <w:bCs/>
          <w:color w:val="000000"/>
          <w:szCs w:val="24"/>
          <w:highlight w:val="none"/>
        </w:rPr>
      </w:r>
      <w:r/>
    </w:p>
    <w:p>
      <w:pPr>
        <w:pStyle w:val="1131"/>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本项目采用综合评分法。</w:t>
      </w:r>
      <w:r>
        <w:rPr>
          <w:rFonts w:ascii="宋体" w:hAnsi="宋体" w:cs="宋体"/>
          <w:bCs/>
          <w:color w:val="000000"/>
          <w:sz w:val="24"/>
          <w:szCs w:val="24"/>
          <w:highlight w:val="none"/>
        </w:rPr>
      </w:r>
      <w:r/>
    </w:p>
    <w:tbl>
      <w:tblPr>
        <w:tblW w:w="49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360"/>
        <w:gridCol w:w="2341"/>
        <w:gridCol w:w="2320"/>
        <w:gridCol w:w="2341"/>
      </w:tblGrid>
      <w:tr>
        <w:trPr>
          <w:trHeight w:val="366"/>
        </w:trPr>
        <w:tc>
          <w:tcPr>
            <w:tcW w:w="1260" w:type="dxa"/>
            <w:vAlign w:val="center"/>
            <w:textDirection w:val="lrTb"/>
            <w:noWrap/>
          </w:tcPr>
          <w:p>
            <w:pPr>
              <w:pStyle w:val="1131"/>
              <w:ind w:firstLine="420"/>
              <w:jc w:val="center"/>
              <w:spacing w:line="360" w:lineRule="auto"/>
              <w:widowControl/>
              <w:rPr>
                <w:rFonts w:ascii="宋体" w:hAnsi="宋体" w:cs="宋体"/>
                <w:color w:val="000000"/>
                <w:sz w:val="20"/>
                <w:szCs w:val="20"/>
                <w:highlight w:val="none"/>
              </w:rPr>
            </w:pPr>
            <w:r/>
            <w:bookmarkStart w:id="162" w:name="EBeb38bac6236d407ea758a92f796301c6"/>
            <w:r>
              <w:rPr>
                <w:rFonts w:hint="eastAsia" w:ascii="宋体" w:hAnsi="宋体" w:cs="宋体"/>
                <w:color w:val="000000"/>
                <w:szCs w:val="21"/>
                <w:highlight w:val="none"/>
              </w:rPr>
              <w:t xml:space="preserve">评分项目</w:t>
            </w:r>
            <w:r>
              <w:rPr>
                <w:rFonts w:ascii="宋体" w:hAnsi="宋体" w:cs="宋体"/>
                <w:color w:val="000000"/>
                <w:sz w:val="20"/>
                <w:szCs w:val="20"/>
                <w:highlight w:val="none"/>
              </w:rPr>
            </w:r>
            <w:r/>
          </w:p>
        </w:tc>
        <w:tc>
          <w:tcPr>
            <w:tcW w:w="1250" w:type="dxa"/>
            <w:vAlign w:val="center"/>
            <w:textDirection w:val="lrTb"/>
            <w:noWrap/>
          </w:tcPr>
          <w:p>
            <w:pPr>
              <w:pStyle w:val="1131"/>
              <w:ind w:firstLine="420"/>
              <w:jc w:val="center"/>
              <w:spacing w:line="360" w:lineRule="auto"/>
              <w:widowControl/>
              <w:rPr>
                <w:rFonts w:ascii="宋体" w:hAnsi="宋体" w:cs="宋体"/>
                <w:color w:val="000000"/>
                <w:sz w:val="20"/>
                <w:szCs w:val="20"/>
                <w:highlight w:val="none"/>
              </w:rPr>
            </w:pPr>
            <w:r>
              <w:rPr>
                <w:rFonts w:hint="eastAsia" w:ascii="宋体" w:hAnsi="宋体" w:cs="宋体"/>
                <w:color w:val="000000"/>
                <w:szCs w:val="21"/>
                <w:highlight w:val="none"/>
              </w:rPr>
              <w:t xml:space="preserve">价格评估</w:t>
            </w:r>
            <w:r>
              <w:rPr>
                <w:rFonts w:ascii="宋体" w:hAnsi="宋体" w:cs="宋体"/>
                <w:color w:val="000000"/>
                <w:sz w:val="20"/>
                <w:szCs w:val="20"/>
                <w:highlight w:val="none"/>
              </w:rPr>
            </w:r>
            <w:r/>
          </w:p>
        </w:tc>
        <w:tc>
          <w:tcPr>
            <w:tcW w:w="1239" w:type="dxa"/>
            <w:vAlign w:val="center"/>
            <w:textDirection w:val="lrTb"/>
            <w:noWrap/>
          </w:tcPr>
          <w:p>
            <w:pPr>
              <w:pStyle w:val="1131"/>
              <w:ind w:firstLine="420"/>
              <w:jc w:val="center"/>
              <w:spacing w:line="360" w:lineRule="auto"/>
              <w:widowControl/>
              <w:rPr>
                <w:rFonts w:ascii="宋体" w:hAnsi="宋体" w:cs="宋体"/>
                <w:color w:val="000000"/>
                <w:sz w:val="20"/>
                <w:szCs w:val="20"/>
                <w:highlight w:val="none"/>
              </w:rPr>
            </w:pPr>
            <w:r>
              <w:rPr>
                <w:rFonts w:hint="eastAsia" w:ascii="宋体" w:hAnsi="宋体" w:cs="宋体"/>
                <w:color w:val="000000"/>
                <w:szCs w:val="21"/>
                <w:highlight w:val="none"/>
              </w:rPr>
              <w:t xml:space="preserve">商务评估</w:t>
            </w:r>
            <w:r>
              <w:rPr>
                <w:rFonts w:ascii="宋体" w:hAnsi="宋体" w:cs="宋体"/>
                <w:color w:val="000000"/>
                <w:sz w:val="20"/>
                <w:szCs w:val="20"/>
                <w:highlight w:val="none"/>
              </w:rPr>
            </w:r>
            <w:r/>
          </w:p>
        </w:tc>
        <w:tc>
          <w:tcPr>
            <w:tcW w:w="1250" w:type="dxa"/>
            <w:vAlign w:val="center"/>
            <w:textDirection w:val="lrTb"/>
            <w:noWrap/>
          </w:tcPr>
          <w:p>
            <w:pPr>
              <w:pStyle w:val="1131"/>
              <w:ind w:firstLine="420"/>
              <w:jc w:val="center"/>
              <w:spacing w:line="360" w:lineRule="auto"/>
              <w:widowControl/>
              <w:rPr>
                <w:rFonts w:ascii="宋体" w:hAnsi="宋体" w:cs="宋体"/>
                <w:color w:val="000000"/>
                <w:sz w:val="20"/>
                <w:szCs w:val="20"/>
                <w:highlight w:val="none"/>
              </w:rPr>
            </w:pPr>
            <w:r>
              <w:rPr>
                <w:rFonts w:hint="eastAsia" w:ascii="宋体" w:hAnsi="宋体" w:cs="宋体"/>
                <w:color w:val="000000"/>
                <w:szCs w:val="21"/>
                <w:highlight w:val="none"/>
              </w:rPr>
              <w:t xml:space="preserve">技术评估</w:t>
            </w:r>
            <w:r>
              <w:rPr>
                <w:rFonts w:ascii="宋体" w:hAnsi="宋体" w:cs="宋体"/>
                <w:color w:val="000000"/>
                <w:sz w:val="20"/>
                <w:szCs w:val="20"/>
                <w:highlight w:val="none"/>
              </w:rPr>
            </w:r>
            <w:r/>
          </w:p>
        </w:tc>
      </w:tr>
      <w:tr>
        <w:trPr>
          <w:trHeight w:val="346"/>
        </w:trPr>
        <w:tc>
          <w:tcPr>
            <w:tcW w:w="1260" w:type="dxa"/>
            <w:vAlign w:val="center"/>
            <w:textDirection w:val="lrTb"/>
            <w:noWrap/>
          </w:tcPr>
          <w:p>
            <w:pPr>
              <w:pStyle w:val="1131"/>
              <w:ind w:firstLine="420"/>
              <w:jc w:val="center"/>
              <w:spacing w:line="360" w:lineRule="auto"/>
              <w:widowControl/>
              <w:rPr>
                <w:rFonts w:ascii="宋体" w:hAnsi="宋体" w:cs="宋体"/>
                <w:color w:val="000000"/>
                <w:sz w:val="20"/>
                <w:szCs w:val="20"/>
                <w:highlight w:val="none"/>
              </w:rPr>
            </w:pPr>
            <w:r>
              <w:rPr>
                <w:rFonts w:hint="eastAsia" w:ascii="宋体" w:hAnsi="宋体" w:cs="宋体"/>
                <w:color w:val="000000"/>
                <w:szCs w:val="21"/>
                <w:highlight w:val="none"/>
              </w:rPr>
              <w:t xml:space="preserve">分值</w:t>
            </w:r>
            <w:r>
              <w:rPr>
                <w:rFonts w:ascii="宋体" w:hAnsi="宋体" w:cs="宋体"/>
                <w:color w:val="000000"/>
                <w:sz w:val="20"/>
                <w:szCs w:val="20"/>
                <w:highlight w:val="none"/>
              </w:rPr>
            </w:r>
            <w:r/>
          </w:p>
        </w:tc>
        <w:tc>
          <w:tcPr>
            <w:tcW w:w="1250" w:type="dxa"/>
            <w:vAlign w:val="center"/>
            <w:textDirection w:val="lrTb"/>
            <w:noWrap/>
          </w:tcPr>
          <w:p>
            <w:pPr>
              <w:pStyle w:val="1131"/>
              <w:ind w:firstLine="420"/>
              <w:jc w:val="center"/>
              <w:spacing w:line="360" w:lineRule="auto"/>
              <w:widowControl/>
              <w:rPr>
                <w:rFonts w:ascii="宋体" w:hAnsi="宋体" w:cs="宋体"/>
                <w:color w:val="000000"/>
                <w:sz w:val="20"/>
                <w:szCs w:val="20"/>
                <w:highlight w:val="none"/>
              </w:rPr>
            </w:pPr>
            <w:r>
              <w:rPr>
                <w:rFonts w:hint="eastAsia" w:ascii="宋体" w:hAnsi="宋体" w:cs="宋体"/>
                <w:color w:val="000000"/>
                <w:szCs w:val="21"/>
                <w:highlight w:val="none"/>
              </w:rPr>
              <w:t xml:space="preserve">30.00</w:t>
            </w:r>
            <w:r>
              <w:rPr>
                <w:rFonts w:ascii="宋体" w:hAnsi="宋体" w:cs="宋体"/>
                <w:color w:val="000000"/>
                <w:sz w:val="20"/>
                <w:szCs w:val="20"/>
                <w:highlight w:val="none"/>
              </w:rPr>
            </w:r>
            <w:r/>
          </w:p>
        </w:tc>
        <w:tc>
          <w:tcPr>
            <w:tcW w:w="1239" w:type="dxa"/>
            <w:vAlign w:val="center"/>
            <w:textDirection w:val="lrTb"/>
            <w:noWrap/>
          </w:tcPr>
          <w:p>
            <w:pPr>
              <w:pStyle w:val="1131"/>
              <w:ind w:firstLine="420"/>
              <w:jc w:val="center"/>
              <w:spacing w:line="360" w:lineRule="auto"/>
              <w:widowControl/>
              <w:rPr>
                <w:rFonts w:ascii="宋体" w:hAnsi="宋体" w:cs="宋体"/>
                <w:color w:val="000000"/>
                <w:sz w:val="20"/>
                <w:szCs w:val="20"/>
                <w:highlight w:val="none"/>
              </w:rPr>
            </w:pPr>
            <w:r>
              <w:rPr>
                <w:rFonts w:hint="eastAsia" w:ascii="宋体" w:hAnsi="宋体" w:cs="宋体"/>
                <w:color w:val="000000"/>
                <w:szCs w:val="21"/>
                <w:highlight w:val="none"/>
              </w:rPr>
              <w:t xml:space="preserve">20.00</w:t>
            </w:r>
            <w:r>
              <w:rPr>
                <w:rFonts w:ascii="宋体" w:hAnsi="宋体" w:cs="宋体"/>
                <w:color w:val="000000"/>
                <w:sz w:val="20"/>
                <w:szCs w:val="20"/>
                <w:highlight w:val="none"/>
              </w:rPr>
            </w:r>
            <w:r/>
          </w:p>
        </w:tc>
        <w:tc>
          <w:tcPr>
            <w:tcW w:w="1250" w:type="dxa"/>
            <w:vAlign w:val="center"/>
            <w:textDirection w:val="lrTb"/>
            <w:noWrap/>
          </w:tcPr>
          <w:p>
            <w:pPr>
              <w:pStyle w:val="1131"/>
              <w:ind w:firstLine="420"/>
              <w:jc w:val="center"/>
              <w:spacing w:line="360" w:lineRule="auto"/>
              <w:widowControl/>
              <w:rPr>
                <w:rFonts w:ascii="宋体" w:hAnsi="宋体" w:cs="宋体"/>
                <w:color w:val="000000"/>
                <w:sz w:val="20"/>
                <w:szCs w:val="20"/>
                <w:highlight w:val="none"/>
              </w:rPr>
            </w:pPr>
            <w:r>
              <w:rPr>
                <w:rFonts w:hint="eastAsia" w:ascii="宋体" w:hAnsi="宋体" w:cs="宋体"/>
                <w:color w:val="000000"/>
                <w:szCs w:val="21"/>
                <w:highlight w:val="none"/>
              </w:rPr>
              <w:t xml:space="preserve">50.00</w:t>
            </w:r>
            <w:bookmarkEnd w:id="162"/>
            <w:r>
              <w:rPr>
                <w:rFonts w:ascii="宋体" w:hAnsi="宋体" w:cs="宋体"/>
                <w:color w:val="000000"/>
                <w:sz w:val="20"/>
                <w:szCs w:val="20"/>
                <w:highlight w:val="none"/>
              </w:rPr>
            </w:r>
            <w:r/>
          </w:p>
        </w:tc>
      </w:tr>
    </w:tbl>
    <w:p>
      <w:pPr>
        <w:pStyle w:val="1131"/>
        <w:rPr>
          <w:rFonts w:hint="eastAsia" w:ascii="宋体" w:hAnsi="宋体" w:cs="宋体"/>
          <w:color w:val="000000"/>
          <w:sz w:val="32"/>
          <w:highlight w:val="none"/>
        </w:rPr>
      </w:pPr>
      <w:r/>
      <w:bookmarkStart w:id="163" w:name="_Toc73364907"/>
      <w:r/>
      <w:bookmarkStart w:id="164" w:name="_Toc142925675"/>
      <w:r/>
      <w:bookmarkStart w:id="165" w:name="_Toc73365520"/>
      <w:r>
        <w:rPr>
          <w:rFonts w:hint="eastAsia" w:ascii="宋体" w:hAnsi="宋体" w:cs="宋体"/>
          <w:color w:val="000000"/>
          <w:sz w:val="32"/>
          <w:highlight w:val="none"/>
        </w:rPr>
      </w:r>
      <w:r/>
    </w:p>
    <w:p>
      <w:pPr>
        <w:pStyle w:val="1131"/>
        <w:rPr>
          <w:rFonts w:ascii="宋体" w:hAnsi="宋体" w:cs="宋体"/>
          <w:color w:val="000000"/>
          <w:sz w:val="32"/>
          <w:highlight w:val="none"/>
        </w:rPr>
      </w:pPr>
      <w:r>
        <w:rPr>
          <w:rFonts w:ascii="宋体" w:hAnsi="宋体" w:cs="宋体"/>
          <w:color w:val="000000"/>
          <w:sz w:val="32"/>
          <w:highlight w:val="none"/>
        </w:rPr>
      </w:r>
      <w:r/>
    </w:p>
    <w:tbl>
      <w:tblPr>
        <w:tblW w:w="904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564"/>
        <w:gridCol w:w="1124"/>
        <w:gridCol w:w="6768"/>
        <w:gridCol w:w="584"/>
      </w:tblGrid>
      <w:tr>
        <w:trPr>
          <w:trHeight w:val="409"/>
        </w:trPr>
        <w:tc>
          <w:tcPr>
            <w:shd w:val="clear" w:color="auto" w:fill="ffffff"/>
            <w:tcMar>
              <w:left w:w="0" w:type="dxa"/>
              <w:top w:w="0" w:type="dxa"/>
              <w:right w:w="0" w:type="dxa"/>
              <w:bottom w:w="0" w:type="dxa"/>
            </w:tcMar>
            <w:tcW w:w="564" w:type="dxa"/>
            <w:vAlign w:val="center"/>
            <w:textDirection w:val="lrTb"/>
            <w:noWrap/>
          </w:tcPr>
          <w:p>
            <w:pPr>
              <w:pStyle w:val="1180"/>
              <w:jc w:val="center"/>
              <w:shd w:val="clear" w:color="auto" w:fill="ffffff"/>
              <w:rPr>
                <w:rFonts w:ascii="宋体" w:hAnsi="宋体" w:cs="宋体"/>
                <w:color w:val="000000"/>
                <w:highlight w:val="none"/>
              </w:rPr>
            </w:pPr>
            <w:r>
              <w:rPr>
                <w:rFonts w:hint="eastAsia" w:ascii="宋体" w:hAnsi="宋体" w:cs="宋体"/>
                <w:color w:val="000000"/>
                <w:highlight w:val="none"/>
              </w:rPr>
              <w:t xml:space="preserve">序号</w:t>
            </w:r>
            <w:r>
              <w:rPr>
                <w:rFonts w:ascii="宋体" w:hAnsi="宋体" w:cs="宋体"/>
                <w:color w:val="000000"/>
                <w:highlight w:val="none"/>
              </w:rPr>
            </w:r>
            <w:r/>
          </w:p>
        </w:tc>
        <w:tc>
          <w:tcPr>
            <w:shd w:val="clear" w:color="auto" w:fill="ffffff"/>
            <w:tcMar>
              <w:left w:w="0" w:type="dxa"/>
              <w:top w:w="0" w:type="dxa"/>
              <w:right w:w="0" w:type="dxa"/>
              <w:bottom w:w="0" w:type="dxa"/>
            </w:tcMar>
            <w:tcW w:w="1124" w:type="dxa"/>
            <w:vAlign w:val="center"/>
            <w:textDirection w:val="lrTb"/>
            <w:noWrap/>
          </w:tcPr>
          <w:p>
            <w:pPr>
              <w:pStyle w:val="1180"/>
              <w:jc w:val="center"/>
              <w:shd w:val="clear" w:color="auto" w:fill="ffffff"/>
              <w:rPr>
                <w:rFonts w:ascii="宋体" w:hAnsi="宋体" w:cs="宋体"/>
                <w:color w:val="000000"/>
                <w:highlight w:val="none"/>
              </w:rPr>
            </w:pPr>
            <w:r>
              <w:rPr>
                <w:rFonts w:hint="eastAsia" w:ascii="宋体" w:hAnsi="宋体" w:cs="宋体"/>
                <w:color w:val="000000"/>
                <w:highlight w:val="none"/>
              </w:rPr>
              <w:t xml:space="preserve">评分项目</w:t>
            </w:r>
            <w:r>
              <w:rPr>
                <w:rFonts w:ascii="宋体" w:hAnsi="宋体" w:cs="宋体"/>
                <w:color w:val="000000"/>
                <w:highlight w:val="none"/>
              </w:rPr>
            </w:r>
            <w:r/>
          </w:p>
        </w:tc>
        <w:tc>
          <w:tcPr>
            <w:shd w:val="clear" w:color="auto" w:fill="ffffff"/>
            <w:tcMar>
              <w:left w:w="0" w:type="dxa"/>
              <w:top w:w="0" w:type="dxa"/>
              <w:right w:w="0" w:type="dxa"/>
              <w:bottom w:w="0" w:type="dxa"/>
            </w:tcMar>
            <w:tcW w:w="6768" w:type="dxa"/>
            <w:vAlign w:val="center"/>
            <w:textDirection w:val="lrTb"/>
            <w:noWrap/>
          </w:tcPr>
          <w:p>
            <w:pPr>
              <w:pStyle w:val="1180"/>
              <w:ind w:firstLine="480"/>
              <w:jc w:val="center"/>
              <w:shd w:val="clear" w:color="auto" w:fill="ffffff"/>
              <w:rPr>
                <w:rFonts w:ascii="宋体" w:hAnsi="宋体" w:cs="宋体"/>
                <w:color w:val="000000"/>
                <w:highlight w:val="none"/>
              </w:rPr>
            </w:pPr>
            <w:r>
              <w:rPr>
                <w:rFonts w:hint="eastAsia" w:ascii="宋体" w:hAnsi="宋体" w:cs="宋体"/>
                <w:color w:val="000000"/>
                <w:highlight w:val="none"/>
              </w:rPr>
              <w:t xml:space="preserve">评审细则</w:t>
            </w:r>
            <w:r>
              <w:rPr>
                <w:rFonts w:ascii="宋体" w:hAnsi="宋体" w:cs="宋体"/>
                <w:color w:val="000000"/>
                <w:highlight w:val="none"/>
              </w:rPr>
            </w:r>
            <w:r/>
          </w:p>
        </w:tc>
        <w:tc>
          <w:tcPr>
            <w:shd w:val="clear" w:color="auto" w:fill="ffffff"/>
            <w:tcMar>
              <w:left w:w="0" w:type="dxa"/>
              <w:top w:w="0" w:type="dxa"/>
              <w:right w:w="0" w:type="dxa"/>
              <w:bottom w:w="0" w:type="dxa"/>
            </w:tcMar>
            <w:tcW w:w="584" w:type="dxa"/>
            <w:vAlign w:val="center"/>
            <w:textDirection w:val="lrTb"/>
            <w:noWrap/>
          </w:tcPr>
          <w:p>
            <w:pPr>
              <w:pStyle w:val="1180"/>
              <w:jc w:val="center"/>
              <w:shd w:val="clear" w:color="auto" w:fill="ffffff"/>
              <w:rPr>
                <w:rFonts w:ascii="宋体" w:hAnsi="宋体" w:cs="宋体"/>
                <w:color w:val="000000"/>
                <w:highlight w:val="none"/>
              </w:rPr>
            </w:pPr>
            <w:r>
              <w:rPr>
                <w:rFonts w:hint="eastAsia" w:ascii="宋体" w:hAnsi="宋体" w:cs="宋体"/>
                <w:color w:val="000000"/>
                <w:highlight w:val="none"/>
              </w:rPr>
              <w:t xml:space="preserve">得分</w:t>
            </w:r>
            <w:r>
              <w:rPr>
                <w:rFonts w:ascii="宋体" w:hAnsi="宋体" w:cs="宋体"/>
                <w:color w:val="000000"/>
                <w:highlight w:val="none"/>
              </w:rPr>
            </w:r>
            <w:r/>
          </w:p>
        </w:tc>
      </w:tr>
      <w:tr>
        <w:trPr>
          <w:trHeight w:val="409"/>
        </w:trPr>
        <w:tc>
          <w:tcPr>
            <w:gridSpan w:val="4"/>
            <w:tcMar>
              <w:left w:w="0" w:type="dxa"/>
              <w:top w:w="0" w:type="dxa"/>
              <w:right w:w="0" w:type="dxa"/>
              <w:bottom w:w="0" w:type="dxa"/>
            </w:tcMar>
            <w:tcW w:w="9040" w:type="dxa"/>
            <w:vAlign w:val="center"/>
            <w:textDirection w:val="lrTb"/>
            <w:noWrap/>
          </w:tcPr>
          <w:p>
            <w:pPr>
              <w:pStyle w:val="1180"/>
              <w:ind w:firstLine="480"/>
              <w:jc w:val="center"/>
              <w:shd w:val="clear" w:color="auto" w:fill="ffffff"/>
              <w:rPr>
                <w:rFonts w:ascii="宋体" w:hAnsi="宋体" w:cs="宋体"/>
                <w:color w:val="000000"/>
                <w:highlight w:val="none"/>
              </w:rPr>
            </w:pPr>
            <w:r>
              <w:rPr>
                <w:rFonts w:hint="eastAsia" w:ascii="宋体" w:hAnsi="宋体" w:cs="宋体"/>
                <w:color w:val="000000"/>
                <w:highlight w:val="none"/>
              </w:rPr>
              <w:t xml:space="preserve">价格评审（30分）</w:t>
            </w:r>
            <w:r>
              <w:rPr>
                <w:rFonts w:ascii="宋体" w:hAnsi="宋体" w:cs="宋体"/>
                <w:color w:val="000000"/>
                <w:highlight w:val="none"/>
              </w:rPr>
            </w:r>
            <w:r/>
          </w:p>
        </w:tc>
      </w:tr>
      <w:tr>
        <w:trPr>
          <w:trHeight w:val="409"/>
        </w:trPr>
        <w:tc>
          <w:tcPr>
            <w:shd w:val="clear" w:color="auto" w:fill="ffffff"/>
            <w:tcMar>
              <w:left w:w="0" w:type="dxa"/>
              <w:top w:w="0" w:type="dxa"/>
              <w:right w:w="0" w:type="dxa"/>
              <w:bottom w:w="0" w:type="dxa"/>
            </w:tcMar>
            <w:tcW w:w="564" w:type="dxa"/>
            <w:vAlign w:val="center"/>
            <w:textDirection w:val="lrTb"/>
            <w:noWrap/>
          </w:tcPr>
          <w:p>
            <w:pPr>
              <w:pStyle w:val="1180"/>
              <w:jc w:val="center"/>
              <w:shd w:val="clear" w:color="auto" w:fill="ffffff"/>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gridSpan w:val="2"/>
            <w:shd w:val="clear" w:color="auto" w:fill="ffffff"/>
            <w:tcMar>
              <w:left w:w="0" w:type="dxa"/>
              <w:top w:w="0" w:type="dxa"/>
              <w:right w:w="0" w:type="dxa"/>
              <w:bottom w:w="0" w:type="dxa"/>
            </w:tcMar>
            <w:tcW w:w="7892" w:type="dxa"/>
            <w:vAlign w:val="center"/>
            <w:textDirection w:val="lrTb"/>
            <w:noWrap/>
          </w:tcPr>
          <w:p>
            <w:pPr>
              <w:pStyle w:val="1180"/>
              <w:ind w:firstLine="480"/>
              <w:jc w:val="both"/>
              <w:shd w:val="clear" w:color="auto" w:fill="ffffff"/>
              <w:rPr>
                <w:rFonts w:ascii="宋体" w:hAnsi="宋体" w:cs="宋体"/>
                <w:color w:val="000000"/>
                <w:highlight w:val="none"/>
              </w:rPr>
            </w:pPr>
            <w:r>
              <w:rPr>
                <w:rFonts w:hint="eastAsia" w:ascii="宋体" w:hAnsi="宋体" w:cs="宋体"/>
                <w:color w:val="000000"/>
                <w:highlight w:val="none"/>
              </w:rPr>
              <w:t xml:space="preserve">综合评分法中的价格分采用低价优先法计算，即满足招标文件要求且最后报价最低的投标人的价格为评标基准价，其价格分为满分30分。其他投标人的价格分统一按照下列公式计算：报价得分=(投标基准价／投标报价)×30。</w:t>
            </w:r>
            <w:r>
              <w:rPr>
                <w:rFonts w:ascii="宋体" w:hAnsi="宋体" w:cs="宋体"/>
                <w:color w:val="000000"/>
                <w:highlight w:val="none"/>
              </w:rPr>
            </w:r>
            <w:r/>
          </w:p>
          <w:p>
            <w:pPr>
              <w:pStyle w:val="1180"/>
              <w:ind w:firstLine="480"/>
              <w:jc w:val="both"/>
              <w:shd w:val="clear" w:color="auto" w:fill="ffffff"/>
              <w:rPr>
                <w:rFonts w:ascii="宋体" w:hAnsi="宋体" w:cs="宋体"/>
                <w:color w:val="000000"/>
                <w:highlight w:val="none"/>
              </w:rPr>
            </w:pPr>
            <w:r>
              <w:rPr>
                <w:rFonts w:hint="eastAsia" w:ascii="宋体" w:hAnsi="宋体"/>
                <w:color w:val="000000"/>
                <w:szCs w:val="28"/>
                <w:highlight w:val="none"/>
              </w:rPr>
              <w:t xml:space="preserve">本项目不专门面向中小微企业，如果本项目的</w:t>
            </w:r>
            <w:r>
              <w:rPr>
                <w:rFonts w:hint="eastAsia" w:ascii="宋体" w:hAnsi="宋体"/>
                <w:color w:val="000000"/>
                <w:szCs w:val="28"/>
                <w:highlight w:val="none"/>
                <w:lang w:eastAsia="zh-CN"/>
              </w:rPr>
              <w:t xml:space="preserve">服务</w:t>
            </w:r>
            <w:r>
              <w:rPr>
                <w:rFonts w:hint="eastAsia" w:ascii="宋体" w:hAnsi="宋体"/>
                <w:color w:val="000000"/>
                <w:szCs w:val="28"/>
                <w:highlight w:val="none"/>
              </w:rPr>
              <w:t xml:space="preserve">全部由小型或微型企业或视同小型和微型企业承接的，对其价格给予10%的调减，用调减后价格计算价格分。</w:t>
            </w:r>
            <w:r>
              <w:rPr>
                <w:rFonts w:ascii="宋体" w:hAnsi="宋体" w:cs="宋体"/>
                <w:color w:val="000000"/>
                <w:highlight w:val="none"/>
              </w:rPr>
            </w:r>
            <w:r/>
          </w:p>
        </w:tc>
        <w:tc>
          <w:tcPr>
            <w:shd w:val="clear" w:color="auto" w:fill="ffffff"/>
            <w:tcMar>
              <w:left w:w="0" w:type="dxa"/>
              <w:top w:w="0" w:type="dxa"/>
              <w:right w:w="0" w:type="dxa"/>
              <w:bottom w:w="0" w:type="dxa"/>
            </w:tcMar>
            <w:tcW w:w="584" w:type="dxa"/>
            <w:vAlign w:val="center"/>
            <w:textDirection w:val="lrTb"/>
            <w:noWrap/>
          </w:tcPr>
          <w:p>
            <w:pPr>
              <w:pStyle w:val="1180"/>
              <w:jc w:val="center"/>
              <w:shd w:val="clear" w:color="auto" w:fill="ffffff"/>
              <w:rPr>
                <w:rFonts w:ascii="宋体" w:hAnsi="宋体" w:cs="宋体"/>
                <w:color w:val="000000"/>
                <w:highlight w:val="none"/>
              </w:rPr>
            </w:pPr>
            <w:r>
              <w:rPr>
                <w:rFonts w:hint="eastAsia" w:ascii="宋体" w:hAnsi="宋体" w:cs="宋体"/>
                <w:color w:val="000000"/>
                <w:highlight w:val="none"/>
              </w:rPr>
              <w:t xml:space="preserve">30分</w:t>
            </w:r>
            <w:r>
              <w:rPr>
                <w:rFonts w:ascii="宋体" w:hAnsi="宋体" w:cs="宋体"/>
                <w:color w:val="000000"/>
                <w:highlight w:val="none"/>
              </w:rPr>
            </w:r>
            <w:r/>
          </w:p>
        </w:tc>
      </w:tr>
      <w:tr>
        <w:trPr>
          <w:trHeight w:val="535"/>
        </w:trPr>
        <w:tc>
          <w:tcPr>
            <w:gridSpan w:val="4"/>
            <w:shd w:val="clear" w:color="auto" w:fill="ffffff"/>
            <w:tcMar>
              <w:left w:w="0" w:type="dxa"/>
              <w:top w:w="0" w:type="dxa"/>
              <w:right w:w="0" w:type="dxa"/>
              <w:bottom w:w="0" w:type="dxa"/>
            </w:tcMar>
            <w:tcW w:w="9040" w:type="dxa"/>
            <w:vAlign w:val="center"/>
            <w:textDirection w:val="lrTb"/>
            <w:noWrap/>
          </w:tcPr>
          <w:p>
            <w:pPr>
              <w:pStyle w:val="1180"/>
              <w:ind w:firstLine="480"/>
              <w:jc w:val="center"/>
              <w:shd w:val="clear" w:color="auto" w:fill="ffffff"/>
              <w:rPr>
                <w:rFonts w:ascii="宋体" w:hAnsi="宋体" w:cs="宋体"/>
                <w:color w:val="000000"/>
                <w:highlight w:val="none"/>
              </w:rPr>
            </w:pPr>
            <w:r>
              <w:rPr>
                <w:rFonts w:hint="eastAsia" w:ascii="宋体" w:hAnsi="宋体" w:cs="宋体"/>
                <w:color w:val="000000"/>
                <w:highlight w:val="none"/>
              </w:rPr>
              <w:t xml:space="preserve">商务评审（20分）</w:t>
            </w:r>
            <w:r>
              <w:rPr>
                <w:rFonts w:ascii="宋体" w:hAnsi="宋体" w:cs="宋体"/>
                <w:color w:val="000000"/>
                <w:highlight w:val="none"/>
              </w:rPr>
            </w:r>
            <w:r/>
          </w:p>
        </w:tc>
      </w:tr>
      <w:tr>
        <w:trPr>
          <w:trHeight w:val="269"/>
        </w:trPr>
        <w:tc>
          <w:tcPr>
            <w:shd w:val="clear" w:color="auto" w:fill="ffffff"/>
            <w:tcMar>
              <w:left w:w="0" w:type="dxa"/>
              <w:top w:w="0" w:type="dxa"/>
              <w:right w:w="0" w:type="dxa"/>
              <w:bottom w:w="0" w:type="dxa"/>
            </w:tcMar>
            <w:tcW w:w="564" w:type="dxa"/>
            <w:vAlign w:val="center"/>
            <w:textDirection w:val="lrTb"/>
            <w:noWrap/>
          </w:tcPr>
          <w:p>
            <w:pPr>
              <w:pStyle w:val="113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shd w:val="clear" w:color="auto" w:fill="ffffff"/>
            <w:tcMar>
              <w:left w:w="0" w:type="dxa"/>
              <w:top w:w="0" w:type="dxa"/>
              <w:right w:w="0" w:type="dxa"/>
              <w:bottom w:w="0" w:type="dxa"/>
            </w:tcMar>
            <w:tcW w:w="1124" w:type="dxa"/>
            <w:vAlign w:val="center"/>
            <w:textDirection w:val="lrTb"/>
            <w:noWrap/>
          </w:tcPr>
          <w:p>
            <w:pPr>
              <w:pStyle w:val="113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企业资信</w:t>
            </w:r>
            <w:r>
              <w:rPr>
                <w:rFonts w:ascii="宋体" w:hAnsi="宋体" w:cs="宋体"/>
                <w:color w:val="000000"/>
                <w:sz w:val="24"/>
                <w:szCs w:val="24"/>
                <w:highlight w:val="none"/>
              </w:rPr>
            </w:r>
            <w:r/>
          </w:p>
        </w:tc>
        <w:tc>
          <w:tcPr>
            <w:shd w:val="clear" w:color="auto" w:fill="ffffff"/>
            <w:tcMar>
              <w:left w:w="0" w:type="dxa"/>
              <w:top w:w="0" w:type="dxa"/>
              <w:right w:w="0" w:type="dxa"/>
              <w:bottom w:w="0" w:type="dxa"/>
            </w:tcMar>
            <w:tcW w:w="6768" w:type="dxa"/>
            <w:vAlign w:val="center"/>
            <w:textDirection w:val="lrTb"/>
            <w:noWrap/>
          </w:tcPr>
          <w:p>
            <w:pPr>
              <w:pStyle w:val="1131"/>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1.投标单位具有有效的电子与智能化工程专业承包二级及以上资质的得1分，具有有效的建筑装修装饰工程专业承包二级及以上资质的得1分，最高得2分，不提供不得分。</w:t>
            </w:r>
            <w:r>
              <w:rPr>
                <w:rFonts w:hint="eastAsia" w:ascii="宋体" w:hAnsi="宋体" w:cs="宋体"/>
                <w:color w:val="000000"/>
                <w:sz w:val="24"/>
                <w:szCs w:val="24"/>
                <w:highlight w:val="none"/>
                <w:lang w:bidi="ar"/>
              </w:rPr>
              <w:t xml:space="preserve">同时投标单位应具有有效的安全生产许可证，否则本项不得分。</w:t>
            </w:r>
            <w:r>
              <w:rPr>
                <w:rFonts w:hint="eastAsia" w:ascii="宋体" w:hAnsi="宋体" w:cs="宋体"/>
                <w:color w:val="000000"/>
                <w:sz w:val="24"/>
                <w:szCs w:val="24"/>
                <w:highlight w:val="none"/>
                <w:lang w:bidi="ar"/>
              </w:rPr>
            </w:r>
            <w:r/>
          </w:p>
          <w:p>
            <w:pPr>
              <w:pStyle w:val="1131"/>
              <w:spacing w:line="36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2.投标单位具有有效的“职业健康安全管理体系 ”的得1分、具有有效的“环境管理体系 ”的得1分、具有有效的“质量管理体系 ”的得1分，最高得3分，不提供不得分。</w:t>
            </w:r>
            <w:r>
              <w:rPr>
                <w:rFonts w:ascii="宋体" w:hAnsi="宋体" w:cs="宋体"/>
                <w:color w:val="000000"/>
                <w:sz w:val="24"/>
                <w:szCs w:val="24"/>
                <w:highlight w:val="none"/>
                <w:lang w:bidi="ar"/>
              </w:rPr>
            </w:r>
            <w:r/>
          </w:p>
          <w:p>
            <w:pPr>
              <w:pStyle w:val="1131"/>
              <w:spacing w:line="36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3.投标单位具有有效的“音视频集成工程企业能力等级”贰级及以上的得</w:t>
            </w:r>
            <w:r>
              <w:rPr>
                <w:rFonts w:hint="eastAsia" w:ascii="宋体" w:hAnsi="宋体" w:cs="宋体"/>
                <w:color w:val="000000"/>
                <w:sz w:val="24"/>
                <w:szCs w:val="24"/>
                <w:highlight w:val="none"/>
                <w:lang w:val="en-US" w:eastAsia="zh-CN" w:bidi="ar"/>
              </w:rPr>
              <w:t xml:space="preserve">2</w:t>
            </w:r>
            <w:r>
              <w:rPr>
                <w:rFonts w:hint="eastAsia" w:ascii="宋体" w:hAnsi="宋体" w:cs="宋体"/>
                <w:color w:val="000000"/>
                <w:sz w:val="24"/>
                <w:szCs w:val="24"/>
                <w:highlight w:val="none"/>
                <w:lang w:bidi="ar"/>
              </w:rPr>
              <w:t xml:space="preserve">分，最高得</w:t>
            </w:r>
            <w:r>
              <w:rPr>
                <w:rFonts w:hint="eastAsia" w:ascii="宋体" w:hAnsi="宋体" w:cs="宋体"/>
                <w:color w:val="000000"/>
                <w:sz w:val="24"/>
                <w:szCs w:val="24"/>
                <w:highlight w:val="none"/>
                <w:lang w:val="en-US" w:eastAsia="zh-CN" w:bidi="ar"/>
              </w:rPr>
              <w:t xml:space="preserve">2</w:t>
            </w:r>
            <w:r>
              <w:rPr>
                <w:rFonts w:hint="eastAsia" w:ascii="宋体" w:hAnsi="宋体" w:cs="宋体"/>
                <w:color w:val="000000"/>
                <w:sz w:val="24"/>
                <w:szCs w:val="24"/>
                <w:highlight w:val="none"/>
                <w:lang w:bidi="ar"/>
              </w:rPr>
              <w:t xml:space="preserve">分，不提供不得分。</w:t>
            </w:r>
            <w:r>
              <w:rPr>
                <w:rFonts w:ascii="宋体" w:hAnsi="宋体" w:cs="宋体"/>
                <w:color w:val="000000"/>
                <w:sz w:val="24"/>
                <w:szCs w:val="24"/>
                <w:highlight w:val="none"/>
                <w:lang w:bidi="ar"/>
              </w:rPr>
            </w:r>
            <w:r/>
          </w:p>
          <w:p>
            <w:pPr>
              <w:pStyle w:val="1131"/>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注：提供证书扫描件并加盖投标单位公章，否则无效。</w:t>
            </w:r>
            <w:r>
              <w:rPr>
                <w:rFonts w:ascii="宋体" w:hAnsi="宋体" w:cs="宋体"/>
                <w:color w:val="000000"/>
                <w:sz w:val="24"/>
                <w:szCs w:val="24"/>
                <w:highlight w:val="none"/>
              </w:rPr>
            </w:r>
            <w:r/>
          </w:p>
        </w:tc>
        <w:tc>
          <w:tcPr>
            <w:shd w:val="clear" w:color="auto" w:fill="ffffff"/>
            <w:tcMar>
              <w:left w:w="0" w:type="dxa"/>
              <w:top w:w="0" w:type="dxa"/>
              <w:right w:w="0" w:type="dxa"/>
              <w:bottom w:w="0" w:type="dxa"/>
            </w:tcMar>
            <w:tcW w:w="584" w:type="dxa"/>
            <w:vAlign w:val="center"/>
            <w:textDirection w:val="lrTb"/>
            <w:noWrap/>
          </w:tcPr>
          <w:p>
            <w:pPr>
              <w:pStyle w:val="1131"/>
              <w:jc w:val="center"/>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tc>
      </w:tr>
      <w:tr>
        <w:trPr>
          <w:trHeight w:val="269"/>
        </w:trPr>
        <w:tc>
          <w:tcPr>
            <w:shd w:val="clear" w:color="auto" w:fill="ffffff"/>
            <w:tcMar>
              <w:left w:w="0" w:type="dxa"/>
              <w:top w:w="0" w:type="dxa"/>
              <w:right w:w="0" w:type="dxa"/>
              <w:bottom w:w="0" w:type="dxa"/>
            </w:tcMar>
            <w:tcW w:w="564" w:type="dxa"/>
            <w:vAlign w:val="center"/>
            <w:textDirection w:val="lrTb"/>
            <w:noWrap/>
          </w:tcPr>
          <w:p>
            <w:pPr>
              <w:pStyle w:val="113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shd w:val="clear" w:color="auto" w:fill="ffffff"/>
            <w:tcMar>
              <w:left w:w="0" w:type="dxa"/>
              <w:top w:w="0" w:type="dxa"/>
              <w:right w:w="0" w:type="dxa"/>
              <w:bottom w:w="0" w:type="dxa"/>
            </w:tcMar>
            <w:tcW w:w="1124" w:type="dxa"/>
            <w:vAlign w:val="center"/>
            <w:textDirection w:val="lrTb"/>
            <w:noWrap/>
          </w:tcPr>
          <w:p>
            <w:pPr>
              <w:pStyle w:val="113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类似业绩</w:t>
            </w:r>
            <w:r>
              <w:rPr>
                <w:rFonts w:ascii="宋体" w:hAnsi="宋体" w:cs="宋体"/>
                <w:color w:val="000000"/>
                <w:sz w:val="24"/>
                <w:szCs w:val="24"/>
                <w:highlight w:val="none"/>
              </w:rPr>
            </w:r>
            <w:r/>
          </w:p>
        </w:tc>
        <w:tc>
          <w:tcPr>
            <w:shd w:val="clear" w:color="auto" w:fill="ffffff"/>
            <w:tcMar>
              <w:left w:w="0" w:type="dxa"/>
              <w:top w:w="0" w:type="dxa"/>
              <w:right w:w="0" w:type="dxa"/>
              <w:bottom w:w="0" w:type="dxa"/>
            </w:tcMar>
            <w:tcW w:w="6768" w:type="dxa"/>
            <w:vAlign w:val="center"/>
            <w:textDirection w:val="lrTb"/>
            <w:noWrap/>
          </w:tcPr>
          <w:p>
            <w:pPr>
              <w:pStyle w:val="1131"/>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投标人自2022年1月1日以来完成过的类似项目业绩。</w:t>
            </w:r>
            <w:r>
              <w:rPr>
                <w:rFonts w:hint="eastAsia" w:ascii="宋体" w:hAnsi="宋体" w:cs="宋体"/>
                <w:color w:val="000000"/>
                <w:sz w:val="24"/>
                <w:szCs w:val="24"/>
                <w:highlight w:val="none"/>
              </w:rPr>
              <w:t xml:space="preserve">类似项目的</w:t>
            </w:r>
            <w:r>
              <w:rPr>
                <w:rFonts w:hint="eastAsia" w:ascii="宋体" w:hAnsi="宋体" w:cs="宋体"/>
                <w:color w:val="000000"/>
                <w:sz w:val="24"/>
                <w:szCs w:val="24"/>
                <w:highlight w:val="none"/>
                <w:lang w:bidi="ar"/>
              </w:rPr>
              <w:t xml:space="preserve">内容、性质，涵盖或与本项目要求基本一致的，</w:t>
            </w:r>
            <w:r>
              <w:rPr>
                <w:rFonts w:hint="eastAsia" w:ascii="宋体" w:hAnsi="宋体" w:cs="宋体"/>
                <w:color w:val="000000"/>
                <w:sz w:val="24"/>
                <w:szCs w:val="24"/>
                <w:highlight w:val="none"/>
              </w:rPr>
              <w:t xml:space="preserve">每提供一个得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分，最高</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分，时间以合同时间为准。</w:t>
            </w:r>
            <w:r>
              <w:rPr>
                <w:rFonts w:ascii="宋体" w:hAnsi="宋体" w:cs="宋体"/>
                <w:color w:val="000000"/>
                <w:sz w:val="24"/>
                <w:szCs w:val="24"/>
                <w:highlight w:val="none"/>
              </w:rPr>
            </w:r>
            <w:r/>
          </w:p>
          <w:p>
            <w:pPr>
              <w:pStyle w:val="1131"/>
              <w:rPr>
                <w:rFonts w:ascii="宋体" w:hAnsi="宋体" w:cs="宋体"/>
                <w:color w:val="000000"/>
                <w:sz w:val="24"/>
                <w:szCs w:val="24"/>
                <w:highlight w:val="none"/>
              </w:rPr>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bidi="ar"/>
              </w:rPr>
              <w:t xml:space="preserve">提供合同、验收单扫描件，缺一不可，并提供用户方相关联系人信息备查，资料不全不得分。</w:t>
            </w:r>
            <w:r>
              <w:rPr>
                <w:rFonts w:ascii="宋体" w:hAnsi="宋体" w:cs="宋体"/>
                <w:color w:val="000000"/>
                <w:sz w:val="24"/>
                <w:szCs w:val="24"/>
                <w:highlight w:val="none"/>
              </w:rPr>
            </w:r>
            <w:r/>
          </w:p>
        </w:tc>
        <w:tc>
          <w:tcPr>
            <w:shd w:val="clear" w:color="auto" w:fill="ffffff"/>
            <w:tcMar>
              <w:left w:w="0" w:type="dxa"/>
              <w:top w:w="0" w:type="dxa"/>
              <w:right w:w="0" w:type="dxa"/>
              <w:bottom w:w="0" w:type="dxa"/>
            </w:tcMar>
            <w:tcW w:w="584" w:type="dxa"/>
            <w:vAlign w:val="center"/>
            <w:textDirection w:val="lrTb"/>
            <w:noWrap/>
          </w:tcPr>
          <w:p>
            <w:pPr>
              <w:pStyle w:val="1131"/>
              <w:jc w:val="center"/>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tc>
      </w:tr>
      <w:tr>
        <w:trPr>
          <w:trHeight w:val="269"/>
        </w:trPr>
        <w:tc>
          <w:tcPr>
            <w:shd w:val="clear" w:color="auto" w:fill="ffffff"/>
            <w:tcMar>
              <w:left w:w="0" w:type="dxa"/>
              <w:top w:w="0" w:type="dxa"/>
              <w:right w:w="0" w:type="dxa"/>
              <w:bottom w:w="0" w:type="dxa"/>
            </w:tcMar>
            <w:tcW w:w="564" w:type="dxa"/>
            <w:vAlign w:val="center"/>
            <w:textDirection w:val="lrTb"/>
            <w:noWrap/>
          </w:tcPr>
          <w:p>
            <w:pPr>
              <w:pStyle w:val="113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shd w:val="clear" w:color="auto" w:fill="ffffff"/>
            <w:tcMar>
              <w:left w:w="0" w:type="dxa"/>
              <w:top w:w="0" w:type="dxa"/>
              <w:right w:w="0" w:type="dxa"/>
              <w:bottom w:w="0" w:type="dxa"/>
            </w:tcMar>
            <w:tcW w:w="1124" w:type="dxa"/>
            <w:vAlign w:val="center"/>
            <w:textDirection w:val="lrTb"/>
            <w:noWrap/>
          </w:tcPr>
          <w:p>
            <w:pPr>
              <w:pStyle w:val="113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项目负责人</w:t>
            </w:r>
            <w:r>
              <w:rPr>
                <w:rFonts w:ascii="宋体" w:hAnsi="宋体" w:cs="宋体"/>
                <w:color w:val="000000"/>
                <w:sz w:val="24"/>
                <w:szCs w:val="24"/>
                <w:highlight w:val="none"/>
              </w:rPr>
            </w:r>
            <w:r/>
          </w:p>
        </w:tc>
        <w:tc>
          <w:tcPr>
            <w:shd w:val="clear" w:color="auto" w:fill="ffffff"/>
            <w:tcMar>
              <w:left w:w="0" w:type="dxa"/>
              <w:top w:w="0" w:type="dxa"/>
              <w:right w:w="0" w:type="dxa"/>
              <w:bottom w:w="0" w:type="dxa"/>
            </w:tcMar>
            <w:tcW w:w="6768" w:type="dxa"/>
            <w:vAlign w:val="center"/>
            <w:textDirection w:val="lrTb"/>
            <w:noWrap/>
          </w:tcPr>
          <w:p>
            <w:pPr>
              <w:pStyle w:val="1131"/>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投标人拟选派的项目负责人具有有效的机电工程二级及以上建造师资格证书得1分，具有有效的</w:t>
            </w:r>
            <w:r>
              <w:rPr>
                <w:rFonts w:hint="eastAsia" w:ascii="宋体" w:hAnsi="宋体" w:cs="宋体"/>
                <w:color w:val="000000"/>
                <w:sz w:val="24"/>
                <w:szCs w:val="24"/>
                <w:highlight w:val="none"/>
                <w:lang w:bidi="ar"/>
              </w:rPr>
              <w:t xml:space="preserve">信息系统项目管理师证书得1分，本项最高得2分。</w:t>
            </w:r>
            <w:r>
              <w:rPr>
                <w:rFonts w:hint="eastAsia" w:ascii="宋体" w:hAnsi="宋体" w:cs="宋体"/>
                <w:color w:val="000000"/>
                <w:sz w:val="24"/>
                <w:szCs w:val="24"/>
                <w:highlight w:val="none"/>
              </w:rPr>
            </w:r>
            <w:r/>
          </w:p>
          <w:p>
            <w:pPr>
              <w:pStyle w:val="1131"/>
              <w:rPr>
                <w:rFonts w:ascii="宋体" w:hAnsi="宋体" w:cs="宋体"/>
                <w:color w:val="000000"/>
                <w:sz w:val="24"/>
                <w:szCs w:val="24"/>
                <w:highlight w:val="none"/>
              </w:rPr>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bidi="ar"/>
              </w:rPr>
              <w:t xml:space="preserve">提供有效的证书扫描件及投标单位为其缴纳的社保缴费（近6个月中任意1个月）证明复印件并加盖投标单位公章，未按要求提供证明材料的不得分。</w:t>
            </w:r>
            <w:r>
              <w:rPr>
                <w:rFonts w:ascii="宋体" w:hAnsi="宋体" w:cs="宋体"/>
                <w:color w:val="000000"/>
                <w:sz w:val="24"/>
                <w:szCs w:val="24"/>
                <w:highlight w:val="none"/>
              </w:rPr>
            </w:r>
            <w:r/>
          </w:p>
        </w:tc>
        <w:tc>
          <w:tcPr>
            <w:shd w:val="clear" w:color="auto" w:fill="ffffff"/>
            <w:tcMar>
              <w:left w:w="0" w:type="dxa"/>
              <w:top w:w="0" w:type="dxa"/>
              <w:right w:w="0" w:type="dxa"/>
              <w:bottom w:w="0" w:type="dxa"/>
            </w:tcMar>
            <w:tcW w:w="584" w:type="dxa"/>
            <w:vAlign w:val="center"/>
            <w:textDirection w:val="lrTb"/>
            <w:noWrap/>
          </w:tcPr>
          <w:p>
            <w:pPr>
              <w:pStyle w:val="113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2分</w:t>
            </w:r>
            <w:r>
              <w:rPr>
                <w:rFonts w:ascii="宋体" w:hAnsi="宋体" w:cs="宋体"/>
                <w:color w:val="000000"/>
                <w:sz w:val="24"/>
                <w:szCs w:val="24"/>
                <w:highlight w:val="none"/>
              </w:rPr>
            </w:r>
            <w:r/>
          </w:p>
        </w:tc>
      </w:tr>
      <w:tr>
        <w:trPr>
          <w:trHeight w:val="269"/>
        </w:trPr>
        <w:tc>
          <w:tcPr>
            <w:shd w:val="clear" w:color="auto" w:fill="ffffff"/>
            <w:tcMar>
              <w:left w:w="0" w:type="dxa"/>
              <w:top w:w="0" w:type="dxa"/>
              <w:right w:w="0" w:type="dxa"/>
              <w:bottom w:w="0" w:type="dxa"/>
            </w:tcMar>
            <w:tcW w:w="564"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shd w:val="clear" w:color="auto" w:fill="ffffff"/>
            <w:tcMar>
              <w:left w:w="0" w:type="dxa"/>
              <w:top w:w="0" w:type="dxa"/>
              <w:right w:w="0" w:type="dxa"/>
              <w:bottom w:w="0" w:type="dxa"/>
            </w:tcMar>
            <w:tcW w:w="1124"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项目组成员</w:t>
            </w:r>
            <w:r>
              <w:rPr>
                <w:rFonts w:hint="eastAsia" w:ascii="宋体" w:hAnsi="宋体" w:cs="宋体"/>
                <w:color w:val="000000"/>
                <w:sz w:val="24"/>
                <w:szCs w:val="24"/>
                <w:highlight w:val="none"/>
              </w:rPr>
            </w:r>
            <w:r/>
          </w:p>
        </w:tc>
        <w:tc>
          <w:tcPr>
            <w:shd w:val="clear" w:color="auto" w:fill="ffffff"/>
            <w:tcMar>
              <w:left w:w="0" w:type="dxa"/>
              <w:top w:w="0" w:type="dxa"/>
              <w:right w:w="0" w:type="dxa"/>
              <w:bottom w:w="0" w:type="dxa"/>
            </w:tcMar>
            <w:tcW w:w="6768" w:type="dxa"/>
            <w:vAlign w:val="center"/>
            <w:textDirection w:val="lrTb"/>
            <w:noWrap/>
          </w:tcPr>
          <w:p>
            <w:pPr>
              <w:pStyle w:val="1131"/>
              <w:spacing w:line="36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项目组成员（不含项目负责人）中具有IT服务项目经理（ITSS）证书、信息系统项目管理师证书、网络工程师，每提供一人一证得1分，</w:t>
            </w:r>
            <w:r>
              <w:rPr>
                <w:rFonts w:ascii="宋体" w:hAnsi="宋体" w:cs="宋体"/>
                <w:color w:val="000000"/>
                <w:sz w:val="24"/>
                <w:szCs w:val="24"/>
                <w:highlight w:val="none"/>
                <w:lang w:bidi="ar"/>
              </w:rPr>
              <w:t xml:space="preserve">多人一证或一人多证均不重复计分，</w:t>
            </w:r>
            <w:r>
              <w:rPr>
                <w:rFonts w:hint="eastAsia" w:ascii="宋体" w:hAnsi="宋体" w:cs="宋体"/>
                <w:color w:val="000000"/>
                <w:sz w:val="24"/>
                <w:szCs w:val="24"/>
                <w:highlight w:val="none"/>
                <w:lang w:bidi="ar"/>
              </w:rPr>
              <w:t xml:space="preserve">本项最高得3分。</w:t>
            </w:r>
            <w:r>
              <w:rPr>
                <w:rFonts w:ascii="宋体" w:hAnsi="宋体" w:cs="宋体"/>
                <w:color w:val="000000"/>
                <w:sz w:val="24"/>
                <w:szCs w:val="24"/>
                <w:highlight w:val="none"/>
                <w:lang w:bidi="ar"/>
              </w:rPr>
            </w:r>
            <w:r/>
          </w:p>
          <w:p>
            <w:pPr>
              <w:pStyle w:val="1131"/>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bidi="ar"/>
              </w:rPr>
              <w:t xml:space="preserve">提供有效的证书扫描件及投标单位为其缴纳的社保缴费（近6个月中任意1个月）证明复印件并加盖投标单位公章，未按要求提供证明材料的不得分。</w:t>
            </w:r>
            <w:r>
              <w:rPr>
                <w:rFonts w:hint="eastAsia" w:ascii="宋体" w:hAnsi="宋体" w:cs="宋体"/>
                <w:color w:val="000000"/>
                <w:sz w:val="24"/>
                <w:szCs w:val="24"/>
                <w:highlight w:val="none"/>
              </w:rPr>
            </w:r>
            <w:r/>
          </w:p>
        </w:tc>
        <w:tc>
          <w:tcPr>
            <w:shd w:val="clear" w:color="auto" w:fill="ffffff"/>
            <w:tcMar>
              <w:left w:w="0" w:type="dxa"/>
              <w:top w:w="0" w:type="dxa"/>
              <w:right w:w="0" w:type="dxa"/>
              <w:bottom w:w="0" w:type="dxa"/>
            </w:tcMar>
            <w:tcW w:w="584"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3分</w:t>
            </w:r>
            <w:r>
              <w:rPr>
                <w:rFonts w:hint="eastAsia" w:ascii="宋体" w:hAnsi="宋体" w:cs="宋体"/>
                <w:color w:val="000000"/>
                <w:sz w:val="24"/>
                <w:szCs w:val="24"/>
                <w:highlight w:val="none"/>
              </w:rPr>
            </w:r>
            <w:r/>
          </w:p>
        </w:tc>
      </w:tr>
      <w:tr>
        <w:trPr>
          <w:trHeight w:val="269"/>
        </w:trPr>
        <w:tc>
          <w:tcPr>
            <w:shd w:val="clear" w:color="auto" w:fill="ffffff"/>
            <w:tcMar>
              <w:left w:w="0" w:type="dxa"/>
              <w:top w:w="0" w:type="dxa"/>
              <w:right w:w="0" w:type="dxa"/>
              <w:bottom w:w="0" w:type="dxa"/>
            </w:tcMar>
            <w:tcW w:w="564" w:type="dxa"/>
            <w:vAlign w:val="center"/>
            <w:textDirection w:val="lrTb"/>
            <w:noWrap/>
          </w:tcPr>
          <w:p>
            <w:pPr>
              <w:pStyle w:val="1131"/>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shd w:val="clear" w:color="auto" w:fill="ffffff"/>
            <w:tcMar>
              <w:left w:w="0" w:type="dxa"/>
              <w:top w:w="0" w:type="dxa"/>
              <w:right w:w="0" w:type="dxa"/>
              <w:bottom w:w="0" w:type="dxa"/>
            </w:tcMar>
            <w:tcW w:w="1124"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节能产品</w:t>
            </w:r>
            <w:r>
              <w:rPr>
                <w:rFonts w:hint="eastAsia" w:ascii="宋体" w:hAnsi="宋体" w:cs="宋体"/>
                <w:color w:val="000000"/>
                <w:sz w:val="24"/>
                <w:szCs w:val="24"/>
                <w:highlight w:val="none"/>
              </w:rPr>
            </w:r>
            <w:r/>
          </w:p>
        </w:tc>
        <w:tc>
          <w:tcPr>
            <w:shd w:val="clear" w:color="auto" w:fill="ffffff"/>
            <w:tcMar>
              <w:left w:w="0" w:type="dxa"/>
              <w:top w:w="0" w:type="dxa"/>
              <w:right w:w="0" w:type="dxa"/>
              <w:bottom w:w="0" w:type="dxa"/>
            </w:tcMar>
            <w:tcW w:w="6768" w:type="dxa"/>
            <w:vAlign w:val="center"/>
            <w:textDirection w:val="lrTb"/>
            <w:noWrap/>
          </w:tcPr>
          <w:p>
            <w:pPr>
              <w:pStyle w:val="1131"/>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投标主要产品属财政部和发改委公布的最新一期《节能产品政府采购清单》的节能产品，得1分；投标主要产品属财政部和国家环境保护部公布的最新一期《环境标志产品政府采购清单》内的环境标志产品，得1分。本项最高得2分。提供清单证明。</w:t>
            </w:r>
            <w:r>
              <w:rPr>
                <w:rFonts w:hint="eastAsia" w:ascii="宋体" w:hAnsi="宋体" w:cs="宋体"/>
                <w:color w:val="000000"/>
                <w:sz w:val="24"/>
                <w:szCs w:val="24"/>
                <w:highlight w:val="none"/>
                <w:lang w:bidi="ar"/>
              </w:rPr>
            </w:r>
            <w:r/>
          </w:p>
        </w:tc>
        <w:tc>
          <w:tcPr>
            <w:shd w:val="clear" w:color="auto" w:fill="ffffff"/>
            <w:tcMar>
              <w:left w:w="0" w:type="dxa"/>
              <w:top w:w="0" w:type="dxa"/>
              <w:right w:w="0" w:type="dxa"/>
              <w:bottom w:w="0" w:type="dxa"/>
            </w:tcMar>
            <w:tcW w:w="584"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2分</w:t>
            </w:r>
            <w:r>
              <w:rPr>
                <w:rFonts w:hint="eastAsia" w:ascii="宋体" w:hAnsi="宋体" w:cs="宋体"/>
                <w:color w:val="000000"/>
                <w:sz w:val="24"/>
                <w:szCs w:val="24"/>
                <w:highlight w:val="none"/>
              </w:rPr>
            </w:r>
            <w:r/>
          </w:p>
        </w:tc>
      </w:tr>
      <w:tr>
        <w:trPr>
          <w:trHeight w:val="412"/>
        </w:trPr>
        <w:tc>
          <w:tcPr>
            <w:gridSpan w:val="4"/>
            <w:tcMar>
              <w:left w:w="0" w:type="dxa"/>
              <w:top w:w="0" w:type="dxa"/>
              <w:right w:w="0" w:type="dxa"/>
              <w:bottom w:w="0" w:type="dxa"/>
            </w:tcMar>
            <w:tcW w:w="9040" w:type="dxa"/>
            <w:vAlign w:val="center"/>
            <w:textDirection w:val="lrTb"/>
            <w:noWrap/>
          </w:tcPr>
          <w:p>
            <w:pPr>
              <w:pStyle w:val="1180"/>
              <w:jc w:val="center"/>
              <w:shd w:val="clear" w:color="auto" w:fill="ffffff"/>
              <w:rPr>
                <w:rFonts w:ascii="宋体" w:hAnsi="宋体" w:cs="宋体"/>
                <w:color w:val="000000"/>
                <w:szCs w:val="24"/>
                <w:highlight w:val="none"/>
              </w:rPr>
            </w:pPr>
            <w:r>
              <w:rPr>
                <w:rFonts w:hint="eastAsia" w:ascii="宋体" w:hAnsi="宋体" w:cs="宋体"/>
                <w:color w:val="000000"/>
                <w:szCs w:val="24"/>
                <w:highlight w:val="none"/>
              </w:rPr>
              <w:t xml:space="preserve">技术评价（50分）</w:t>
            </w:r>
            <w:r>
              <w:rPr>
                <w:rFonts w:ascii="宋体" w:hAnsi="宋体" w:cs="宋体"/>
                <w:color w:val="000000"/>
                <w:szCs w:val="24"/>
                <w:highlight w:val="none"/>
              </w:rPr>
            </w:r>
            <w:r/>
          </w:p>
        </w:tc>
      </w:tr>
      <w:tr>
        <w:trPr>
          <w:trHeight w:val="795"/>
        </w:trPr>
        <w:tc>
          <w:tcPr>
            <w:tcMar>
              <w:left w:w="0" w:type="dxa"/>
              <w:top w:w="0" w:type="dxa"/>
              <w:right w:w="0" w:type="dxa"/>
              <w:bottom w:w="0" w:type="dxa"/>
            </w:tcMar>
            <w:tcW w:w="564" w:type="dxa"/>
            <w:vAlign w:val="center"/>
            <w:textDirection w:val="lrTb"/>
            <w:noWrap/>
          </w:tcPr>
          <w:p>
            <w:pPr>
              <w:pStyle w:val="113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Mar>
              <w:left w:w="0" w:type="dxa"/>
              <w:top w:w="0" w:type="dxa"/>
              <w:right w:w="0" w:type="dxa"/>
              <w:bottom w:w="0" w:type="dxa"/>
            </w:tcMar>
            <w:tcW w:w="1124" w:type="dxa"/>
            <w:vAlign w:val="center"/>
            <w:textDirection w:val="lrTb"/>
            <w:noWrap/>
          </w:tcPr>
          <w:p>
            <w:pPr>
              <w:pStyle w:val="113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产品性能和响应情况</w:t>
            </w:r>
            <w:r>
              <w:rPr>
                <w:rFonts w:ascii="宋体" w:hAnsi="宋体" w:cs="宋体"/>
                <w:color w:val="000000"/>
                <w:sz w:val="24"/>
                <w:szCs w:val="24"/>
                <w:highlight w:val="none"/>
              </w:rPr>
            </w:r>
            <w:r/>
          </w:p>
        </w:tc>
        <w:tc>
          <w:tcPr>
            <w:tcMar>
              <w:left w:w="0" w:type="dxa"/>
              <w:top w:w="0" w:type="dxa"/>
              <w:right w:w="0" w:type="dxa"/>
              <w:bottom w:w="0" w:type="dxa"/>
            </w:tcMar>
            <w:tcW w:w="6768" w:type="dxa"/>
            <w:vAlign w:val="center"/>
            <w:textDirection w:val="lrTb"/>
            <w:noWrap/>
          </w:tcPr>
          <w:p>
            <w:pPr>
              <w:pStyle w:val="1131"/>
              <w:rPr>
                <w:rFonts w:ascii="宋体" w:hAnsi="宋体"/>
                <w:color w:val="000000"/>
                <w:sz w:val="24"/>
                <w:szCs w:val="24"/>
                <w:highlight w:val="none"/>
              </w:rPr>
            </w:pPr>
            <w:r>
              <w:rPr>
                <w:rFonts w:hint="eastAsia" w:ascii="宋体" w:hAnsi="宋体"/>
                <w:color w:val="000000"/>
                <w:sz w:val="24"/>
                <w:szCs w:val="24"/>
                <w:highlight w:val="none"/>
              </w:rPr>
              <w:t xml:space="preserve">投标产品满足招标文件的技术指标、参数要求的得30分；标注为“★”为重要参数，不响应作无效投标处理，标注为“▲”项每有一项负偏离扣2分，其他每有一项负偏离扣1分，扣完为止。</w:t>
            </w:r>
            <w:r>
              <w:rPr>
                <w:rFonts w:ascii="宋体" w:hAnsi="宋体"/>
                <w:color w:val="000000"/>
                <w:sz w:val="24"/>
                <w:szCs w:val="24"/>
                <w:highlight w:val="none"/>
              </w:rPr>
            </w:r>
            <w:r/>
          </w:p>
        </w:tc>
        <w:tc>
          <w:tcPr>
            <w:tcMar>
              <w:left w:w="0" w:type="dxa"/>
              <w:top w:w="0" w:type="dxa"/>
              <w:right w:w="0" w:type="dxa"/>
              <w:bottom w:w="0" w:type="dxa"/>
            </w:tcMar>
            <w:tcW w:w="584" w:type="dxa"/>
            <w:vAlign w:val="center"/>
            <w:textDirection w:val="lrTb"/>
            <w:noWrap/>
          </w:tcPr>
          <w:p>
            <w:pPr>
              <w:pStyle w:val="113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30分</w:t>
            </w:r>
            <w:r>
              <w:rPr>
                <w:rFonts w:ascii="宋体" w:hAnsi="宋体" w:cs="宋体"/>
                <w:color w:val="000000"/>
                <w:sz w:val="24"/>
                <w:szCs w:val="24"/>
                <w:highlight w:val="none"/>
              </w:rPr>
            </w:r>
            <w:r/>
          </w:p>
        </w:tc>
      </w:tr>
      <w:tr>
        <w:trPr>
          <w:trHeight w:val="1207"/>
        </w:trPr>
        <w:tc>
          <w:tcPr>
            <w:tcMar>
              <w:left w:w="0" w:type="dxa"/>
              <w:top w:w="0" w:type="dxa"/>
              <w:right w:w="0" w:type="dxa"/>
              <w:bottom w:w="0" w:type="dxa"/>
            </w:tcMar>
            <w:tcW w:w="564" w:type="dxa"/>
            <w:vAlign w:val="center"/>
            <w:textDirection w:val="lrTb"/>
            <w:noWrap/>
          </w:tcPr>
          <w:p>
            <w:pPr>
              <w:pStyle w:val="113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Mar>
              <w:left w:w="0" w:type="dxa"/>
              <w:top w:w="0" w:type="dxa"/>
              <w:right w:w="0" w:type="dxa"/>
              <w:bottom w:w="0" w:type="dxa"/>
            </w:tcMar>
            <w:tcW w:w="1124" w:type="dxa"/>
            <w:vAlign w:val="center"/>
            <w:textDirection w:val="lrTb"/>
            <w:noWrap/>
          </w:tcPr>
          <w:p>
            <w:pPr>
              <w:pStyle w:val="1131"/>
              <w:spacing w:line="36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项目实施方案</w:t>
            </w:r>
            <w:r>
              <w:rPr>
                <w:rFonts w:ascii="宋体" w:hAnsi="宋体" w:cs="宋体"/>
                <w:color w:val="000000"/>
                <w:sz w:val="24"/>
                <w:szCs w:val="24"/>
                <w:highlight w:val="none"/>
                <w:lang w:bidi="ar"/>
              </w:rPr>
            </w:r>
            <w:r/>
          </w:p>
        </w:tc>
        <w:tc>
          <w:tcPr>
            <w:tcMar>
              <w:left w:w="0" w:type="dxa"/>
              <w:top w:w="0" w:type="dxa"/>
              <w:right w:w="0" w:type="dxa"/>
              <w:bottom w:w="0" w:type="dxa"/>
            </w:tcMar>
            <w:tcW w:w="6768" w:type="dxa"/>
            <w:vAlign w:val="center"/>
            <w:textDirection w:val="lrTb"/>
            <w:noWrap/>
          </w:tcPr>
          <w:p>
            <w:pPr>
              <w:pStyle w:val="1131"/>
              <w:spacing w:line="36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投标人需根据对本项目的理解并结合现场情况提供完整的实施方案，评委对方案的规范性、完整性、合理性、可拓展性等方面进行综合评分： </w:t>
            </w:r>
            <w:r>
              <w:rPr>
                <w:rFonts w:ascii="宋体" w:hAnsi="宋体" w:cs="宋体"/>
                <w:color w:val="000000"/>
                <w:sz w:val="24"/>
                <w:szCs w:val="24"/>
                <w:highlight w:val="none"/>
                <w:lang w:bidi="ar"/>
              </w:rPr>
            </w:r>
            <w:r/>
          </w:p>
          <w:p>
            <w:pPr>
              <w:pStyle w:val="1131"/>
              <w:spacing w:line="36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根据投标人提出的实施方案，包括但不限于：</w:t>
            </w:r>
            <w:r>
              <w:rPr>
                <w:rFonts w:ascii="宋体" w:hAnsi="宋体" w:cs="宋体"/>
                <w:color w:val="000000"/>
                <w:sz w:val="24"/>
                <w:szCs w:val="24"/>
                <w:highlight w:val="none"/>
                <w:lang w:bidi="ar"/>
              </w:rPr>
            </w:r>
            <w:r/>
          </w:p>
          <w:p>
            <w:pPr>
              <w:pStyle w:val="1131"/>
              <w:spacing w:line="36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各系统施工方案，货物运输、装卸、安装调试、进度计划及措施等； </w:t>
            </w:r>
            <w:r>
              <w:rPr>
                <w:rFonts w:ascii="宋体" w:hAnsi="宋体" w:cs="宋体"/>
                <w:color w:val="000000"/>
                <w:sz w:val="24"/>
                <w:szCs w:val="24"/>
                <w:highlight w:val="none"/>
                <w:lang w:bidi="ar"/>
              </w:rPr>
            </w:r>
            <w:r/>
          </w:p>
          <w:p>
            <w:pPr>
              <w:pStyle w:val="1131"/>
              <w:spacing w:line="36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方案完整、科学合理的，得7分。</w:t>
            </w:r>
            <w:r>
              <w:rPr>
                <w:rFonts w:ascii="宋体" w:hAnsi="宋体" w:cs="宋体"/>
                <w:color w:val="000000"/>
                <w:sz w:val="24"/>
                <w:szCs w:val="24"/>
                <w:highlight w:val="none"/>
                <w:lang w:bidi="ar"/>
              </w:rPr>
            </w:r>
            <w:r/>
          </w:p>
          <w:p>
            <w:pPr>
              <w:pStyle w:val="1131"/>
              <w:spacing w:line="36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方案详细、能够满足项目实施要求的，得5.5分。</w:t>
            </w:r>
            <w:r>
              <w:rPr>
                <w:rFonts w:ascii="宋体" w:hAnsi="宋体" w:cs="宋体"/>
                <w:color w:val="000000"/>
                <w:sz w:val="24"/>
                <w:szCs w:val="24"/>
                <w:highlight w:val="none"/>
                <w:lang w:bidi="ar"/>
              </w:rPr>
            </w:r>
            <w:r/>
          </w:p>
          <w:p>
            <w:pPr>
              <w:pStyle w:val="1131"/>
              <w:spacing w:line="36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方案简单，基本满足项目实施要求的，得3.5分。</w:t>
            </w:r>
            <w:r>
              <w:rPr>
                <w:rFonts w:ascii="宋体" w:hAnsi="宋体" w:cs="宋体"/>
                <w:color w:val="000000"/>
                <w:sz w:val="24"/>
                <w:szCs w:val="24"/>
                <w:highlight w:val="none"/>
                <w:lang w:bidi="ar"/>
              </w:rPr>
            </w:r>
            <w:r/>
          </w:p>
          <w:p>
            <w:pPr>
              <w:pStyle w:val="1131"/>
              <w:spacing w:line="36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未提供，不得分。</w:t>
            </w:r>
            <w:r>
              <w:rPr>
                <w:rFonts w:ascii="宋体" w:hAnsi="宋体" w:cs="宋体"/>
                <w:color w:val="000000"/>
                <w:sz w:val="24"/>
                <w:szCs w:val="24"/>
                <w:highlight w:val="none"/>
                <w:lang w:bidi="ar"/>
              </w:rPr>
            </w:r>
            <w:r/>
          </w:p>
        </w:tc>
        <w:tc>
          <w:tcPr>
            <w:tcMar>
              <w:left w:w="0" w:type="dxa"/>
              <w:top w:w="0" w:type="dxa"/>
              <w:right w:w="0" w:type="dxa"/>
              <w:bottom w:w="0" w:type="dxa"/>
            </w:tcMar>
            <w:tcW w:w="584" w:type="dxa"/>
            <w:vAlign w:val="center"/>
            <w:textDirection w:val="lrTb"/>
            <w:noWrap/>
          </w:tcPr>
          <w:p>
            <w:pPr>
              <w:pStyle w:val="113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7分</w:t>
            </w:r>
            <w:r>
              <w:rPr>
                <w:rFonts w:ascii="宋体" w:hAnsi="宋体" w:cs="宋体"/>
                <w:color w:val="000000"/>
                <w:sz w:val="24"/>
                <w:szCs w:val="24"/>
                <w:highlight w:val="none"/>
              </w:rPr>
            </w:r>
            <w:r/>
          </w:p>
        </w:tc>
      </w:tr>
      <w:tr>
        <w:trPr>
          <w:trHeight w:val="656"/>
        </w:trPr>
        <w:tc>
          <w:tcPr>
            <w:tcMar>
              <w:left w:w="0" w:type="dxa"/>
              <w:top w:w="0" w:type="dxa"/>
              <w:right w:w="0" w:type="dxa"/>
              <w:bottom w:w="0" w:type="dxa"/>
            </w:tcMar>
            <w:tcW w:w="564" w:type="dxa"/>
            <w:vAlign w:val="center"/>
            <w:textDirection w:val="lrTb"/>
            <w:noWrap/>
          </w:tcPr>
          <w:p>
            <w:pPr>
              <w:pStyle w:val="113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Mar>
              <w:left w:w="0" w:type="dxa"/>
              <w:top w:w="0" w:type="dxa"/>
              <w:right w:w="0" w:type="dxa"/>
              <w:bottom w:w="0" w:type="dxa"/>
            </w:tcMar>
            <w:tcW w:w="1124" w:type="dxa"/>
            <w:vAlign w:val="center"/>
            <w:textDirection w:val="lrTb"/>
            <w:noWrap/>
          </w:tcPr>
          <w:p>
            <w:pPr>
              <w:pStyle w:val="1131"/>
              <w:spacing w:line="36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培训方案</w:t>
            </w:r>
            <w:r>
              <w:rPr>
                <w:rFonts w:ascii="宋体" w:hAnsi="宋体" w:cs="宋体"/>
                <w:color w:val="000000"/>
                <w:sz w:val="24"/>
                <w:szCs w:val="24"/>
                <w:highlight w:val="none"/>
                <w:lang w:bidi="ar"/>
              </w:rPr>
            </w:r>
            <w:r/>
          </w:p>
        </w:tc>
        <w:tc>
          <w:tcPr>
            <w:tcMar>
              <w:left w:w="0" w:type="dxa"/>
              <w:top w:w="0" w:type="dxa"/>
              <w:right w:w="0" w:type="dxa"/>
              <w:bottom w:w="0" w:type="dxa"/>
            </w:tcMar>
            <w:tcW w:w="6768" w:type="dxa"/>
            <w:vAlign w:val="center"/>
            <w:textDirection w:val="lrTb"/>
            <w:noWrap/>
          </w:tcPr>
          <w:p>
            <w:pPr>
              <w:pStyle w:val="1131"/>
              <w:spacing w:line="36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考察投标人的培训方案（培训计划、培训内容及课程、培训对象与人数、培训地点、培训时间等）。</w:t>
            </w:r>
            <w:r>
              <w:rPr>
                <w:rFonts w:ascii="宋体" w:hAnsi="宋体" w:cs="宋体"/>
                <w:color w:val="000000"/>
                <w:sz w:val="24"/>
                <w:szCs w:val="24"/>
                <w:highlight w:val="none"/>
                <w:lang w:bidi="ar"/>
              </w:rPr>
            </w:r>
            <w:r/>
          </w:p>
          <w:p>
            <w:pPr>
              <w:pStyle w:val="1131"/>
              <w:spacing w:line="36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方案完整、科学合理的，得6分。</w:t>
            </w:r>
            <w:r>
              <w:rPr>
                <w:rFonts w:ascii="宋体" w:hAnsi="宋体" w:cs="宋体"/>
                <w:color w:val="000000"/>
                <w:sz w:val="24"/>
                <w:szCs w:val="24"/>
                <w:highlight w:val="none"/>
                <w:lang w:bidi="ar"/>
              </w:rPr>
            </w:r>
            <w:r/>
          </w:p>
          <w:p>
            <w:pPr>
              <w:pStyle w:val="1131"/>
              <w:spacing w:line="36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方案详细、能够满足项目培训要求的，得4.5分。</w:t>
            </w:r>
            <w:r>
              <w:rPr>
                <w:rFonts w:ascii="宋体" w:hAnsi="宋体" w:cs="宋体"/>
                <w:color w:val="000000"/>
                <w:sz w:val="24"/>
                <w:szCs w:val="24"/>
                <w:highlight w:val="none"/>
                <w:lang w:bidi="ar"/>
              </w:rPr>
            </w:r>
            <w:r/>
          </w:p>
          <w:p>
            <w:pPr>
              <w:pStyle w:val="1131"/>
              <w:spacing w:line="36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方案简单、基本满足要求的，得3分。</w:t>
            </w:r>
            <w:r>
              <w:rPr>
                <w:rFonts w:ascii="宋体" w:hAnsi="宋体" w:cs="宋体"/>
                <w:color w:val="000000"/>
                <w:sz w:val="24"/>
                <w:szCs w:val="24"/>
                <w:highlight w:val="none"/>
                <w:lang w:bidi="ar"/>
              </w:rPr>
            </w:r>
            <w:r/>
          </w:p>
          <w:p>
            <w:pPr>
              <w:pStyle w:val="1131"/>
              <w:spacing w:line="36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未提供，不得分。</w:t>
            </w:r>
            <w:r>
              <w:rPr>
                <w:rFonts w:ascii="宋体" w:hAnsi="宋体" w:cs="宋体"/>
                <w:color w:val="000000"/>
                <w:sz w:val="24"/>
                <w:szCs w:val="24"/>
                <w:highlight w:val="none"/>
                <w:lang w:bidi="ar"/>
              </w:rPr>
            </w:r>
            <w:r/>
          </w:p>
        </w:tc>
        <w:tc>
          <w:tcPr>
            <w:tcMar>
              <w:left w:w="0" w:type="dxa"/>
              <w:top w:w="0" w:type="dxa"/>
              <w:right w:w="0" w:type="dxa"/>
              <w:bottom w:w="0" w:type="dxa"/>
            </w:tcMar>
            <w:tcW w:w="584" w:type="dxa"/>
            <w:vAlign w:val="center"/>
            <w:textDirection w:val="lrTb"/>
            <w:noWrap/>
          </w:tcPr>
          <w:p>
            <w:pPr>
              <w:pStyle w:val="113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6分</w:t>
            </w:r>
            <w:r>
              <w:rPr>
                <w:rFonts w:ascii="宋体" w:hAnsi="宋体" w:cs="宋体"/>
                <w:color w:val="000000"/>
                <w:sz w:val="24"/>
                <w:szCs w:val="24"/>
                <w:highlight w:val="none"/>
              </w:rPr>
            </w:r>
            <w:r/>
          </w:p>
        </w:tc>
      </w:tr>
      <w:tr>
        <w:trPr>
          <w:trHeight w:val="411"/>
        </w:trPr>
        <w:tc>
          <w:tcPr>
            <w:tcMar>
              <w:left w:w="0" w:type="dxa"/>
              <w:top w:w="0" w:type="dxa"/>
              <w:right w:w="0" w:type="dxa"/>
              <w:bottom w:w="0" w:type="dxa"/>
            </w:tcMar>
            <w:tcW w:w="564" w:type="dxa"/>
            <w:vAlign w:val="center"/>
            <w:textDirection w:val="lrTb"/>
            <w:noWrap/>
          </w:tcPr>
          <w:p>
            <w:pPr>
              <w:pStyle w:val="113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Mar>
              <w:left w:w="0" w:type="dxa"/>
              <w:top w:w="0" w:type="dxa"/>
              <w:right w:w="0" w:type="dxa"/>
              <w:bottom w:w="0" w:type="dxa"/>
            </w:tcMar>
            <w:tcW w:w="1124" w:type="dxa"/>
            <w:vAlign w:val="center"/>
            <w:textDirection w:val="lrTb"/>
            <w:noWrap/>
          </w:tcPr>
          <w:p>
            <w:pPr>
              <w:pStyle w:val="1131"/>
              <w:spacing w:line="36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售后服务方案</w:t>
            </w:r>
            <w:r>
              <w:rPr>
                <w:rFonts w:ascii="宋体" w:hAnsi="宋体" w:cs="宋体"/>
                <w:color w:val="000000"/>
                <w:sz w:val="24"/>
                <w:szCs w:val="24"/>
                <w:highlight w:val="none"/>
                <w:lang w:bidi="ar"/>
              </w:rPr>
            </w:r>
            <w:r/>
          </w:p>
        </w:tc>
        <w:tc>
          <w:tcPr>
            <w:tcMar>
              <w:left w:w="0" w:type="dxa"/>
              <w:top w:w="0" w:type="dxa"/>
              <w:right w:w="0" w:type="dxa"/>
              <w:bottom w:w="0" w:type="dxa"/>
            </w:tcMar>
            <w:tcW w:w="6768" w:type="dxa"/>
            <w:vAlign w:val="center"/>
            <w:textDirection w:val="lrTb"/>
            <w:noWrap/>
          </w:tcPr>
          <w:p>
            <w:pPr>
              <w:pStyle w:val="1131"/>
              <w:spacing w:line="36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根据投标人提供的项目售后服务方案，包括但不限于：售后服务措施、售后服务体系、服务方案和应急预案。</w:t>
            </w:r>
            <w:r>
              <w:rPr>
                <w:rFonts w:ascii="宋体" w:hAnsi="宋体" w:cs="宋体"/>
                <w:color w:val="000000"/>
                <w:sz w:val="24"/>
                <w:szCs w:val="24"/>
                <w:highlight w:val="none"/>
                <w:lang w:bidi="ar"/>
              </w:rPr>
            </w:r>
            <w:r/>
          </w:p>
          <w:p>
            <w:pPr>
              <w:pStyle w:val="1131"/>
              <w:spacing w:line="36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方案完整、科学合理的，得7分。</w:t>
            </w:r>
            <w:r>
              <w:rPr>
                <w:rFonts w:ascii="宋体" w:hAnsi="宋体" w:cs="宋体"/>
                <w:color w:val="000000"/>
                <w:sz w:val="24"/>
                <w:szCs w:val="24"/>
                <w:highlight w:val="none"/>
                <w:lang w:bidi="ar"/>
              </w:rPr>
            </w:r>
            <w:r/>
          </w:p>
          <w:p>
            <w:pPr>
              <w:pStyle w:val="1131"/>
              <w:spacing w:line="36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方案详细、能够满足项目培训要求的，得5.5分。</w:t>
            </w:r>
            <w:r>
              <w:rPr>
                <w:rFonts w:ascii="宋体" w:hAnsi="宋体" w:cs="宋体"/>
                <w:color w:val="000000"/>
                <w:sz w:val="24"/>
                <w:szCs w:val="24"/>
                <w:highlight w:val="none"/>
                <w:lang w:bidi="ar"/>
              </w:rPr>
            </w:r>
            <w:r/>
          </w:p>
          <w:p>
            <w:pPr>
              <w:pStyle w:val="1131"/>
              <w:spacing w:line="36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方案简单、基本满足要求的，得3.5分。</w:t>
            </w:r>
            <w:r>
              <w:rPr>
                <w:rFonts w:ascii="宋体" w:hAnsi="宋体" w:cs="宋体"/>
                <w:color w:val="000000"/>
                <w:sz w:val="24"/>
                <w:szCs w:val="24"/>
                <w:highlight w:val="none"/>
                <w:lang w:bidi="ar"/>
              </w:rPr>
            </w:r>
            <w:r/>
          </w:p>
          <w:p>
            <w:pPr>
              <w:pStyle w:val="1131"/>
              <w:spacing w:line="36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未提供，不得分。</w:t>
            </w:r>
            <w:r>
              <w:rPr>
                <w:rFonts w:ascii="宋体" w:hAnsi="宋体" w:cs="宋体"/>
                <w:color w:val="000000"/>
                <w:sz w:val="24"/>
                <w:szCs w:val="24"/>
                <w:highlight w:val="none"/>
                <w:lang w:bidi="ar"/>
              </w:rPr>
            </w:r>
            <w:r/>
          </w:p>
        </w:tc>
        <w:tc>
          <w:tcPr>
            <w:tcMar>
              <w:left w:w="0" w:type="dxa"/>
              <w:top w:w="0" w:type="dxa"/>
              <w:right w:w="0" w:type="dxa"/>
              <w:bottom w:w="0" w:type="dxa"/>
            </w:tcMar>
            <w:tcW w:w="584" w:type="dxa"/>
            <w:vAlign w:val="center"/>
            <w:textDirection w:val="lrTb"/>
            <w:noWrap/>
          </w:tcPr>
          <w:p>
            <w:pPr>
              <w:pStyle w:val="113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7分</w:t>
            </w:r>
            <w:r>
              <w:rPr>
                <w:rFonts w:ascii="宋体" w:hAnsi="宋体" w:cs="宋体"/>
                <w:color w:val="000000"/>
                <w:sz w:val="24"/>
                <w:szCs w:val="24"/>
                <w:highlight w:val="none"/>
              </w:rPr>
            </w:r>
            <w:r/>
          </w:p>
        </w:tc>
      </w:tr>
    </w:tbl>
    <w:p>
      <w:pPr>
        <w:pStyle w:val="1131"/>
        <w:rPr>
          <w:rFonts w:ascii="宋体" w:hAnsi="宋体" w:cs="宋体"/>
          <w:color w:val="000000"/>
          <w:sz w:val="24"/>
          <w:szCs w:val="24"/>
          <w:highlight w:val="none"/>
        </w:rPr>
      </w:pPr>
      <w:r>
        <w:rPr>
          <w:rFonts w:ascii="宋体" w:hAnsi="宋体" w:cs="宋体"/>
          <w:color w:val="000000"/>
          <w:sz w:val="24"/>
          <w:szCs w:val="24"/>
          <w:highlight w:val="none"/>
        </w:rPr>
      </w:r>
      <w:r/>
    </w:p>
    <w:p>
      <w:pPr>
        <w:pStyle w:val="1131"/>
        <w:rPr>
          <w:rFonts w:ascii="宋体" w:hAnsi="宋体" w:cs="宋体"/>
          <w:color w:val="000000"/>
          <w:highlight w:val="none"/>
        </w:rPr>
      </w:pPr>
      <w:r>
        <w:rPr>
          <w:rFonts w:ascii="宋体" w:hAnsi="宋体" w:cs="宋体"/>
          <w:color w:val="000000"/>
          <w:highlight w:val="none"/>
        </w:rPr>
      </w:r>
      <w:r/>
    </w:p>
    <w:p>
      <w:pPr>
        <w:pStyle w:val="1337"/>
        <w:ind w:firstLine="301"/>
        <w:keepLines w:val="0"/>
        <w:keepNext w:val="0"/>
        <w:spacing w:before="200" w:after="200" w:line="360" w:lineRule="auto"/>
        <w:rPr>
          <w:color w:val="000000"/>
          <w:sz w:val="24"/>
          <w:szCs w:val="24"/>
          <w:highlight w:val="none"/>
        </w:rPr>
      </w:pPr>
      <w:r/>
      <w:bookmarkEnd w:id="163"/>
      <w:r/>
      <w:bookmarkEnd w:id="164"/>
      <w:r/>
      <w:bookmarkEnd w:id="165"/>
      <w:r>
        <w:rPr>
          <w:rFonts w:hint="eastAsia"/>
          <w:color w:val="000000"/>
          <w:sz w:val="24"/>
          <w:szCs w:val="24"/>
          <w:highlight w:val="none"/>
        </w:rPr>
        <w:t xml:space="preserve">9．相同品牌产品的处理原则</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9.1非单一产品采购项目，采购人应当根据采购项目技术构成、产品价格比重等合理确定核心产品。本项目核心产品见采购需求。</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9.2使用综合评分法的采购项目，核心产品提供相同品牌产品且通过资格审查、符合性</w:t>
      </w:r>
      <w:r>
        <w:rPr>
          <w:rFonts w:hint="eastAsia"/>
          <w:color w:val="000000"/>
          <w:sz w:val="24"/>
          <w:szCs w:val="24"/>
          <w:highlight w:val="none"/>
        </w:rPr>
        <w:t xml:space="preserve">审查的不同投标人参加同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color w:val="000000"/>
          <w:sz w:val="24"/>
          <w:szCs w:val="24"/>
          <w:highlight w:val="none"/>
        </w:rPr>
      </w:r>
      <w:r/>
    </w:p>
    <w:p>
      <w:pPr>
        <w:pStyle w:val="1337"/>
        <w:ind w:firstLine="446"/>
        <w:keepLines w:val="0"/>
        <w:keepNext w:val="0"/>
        <w:spacing w:before="200" w:after="200" w:line="360" w:lineRule="auto"/>
        <w:rPr>
          <w:color w:val="000000"/>
          <w:sz w:val="24"/>
          <w:szCs w:val="24"/>
          <w:highlight w:val="none"/>
        </w:rPr>
      </w:pPr>
      <w:r/>
      <w:bookmarkStart w:id="166" w:name="_Toc256000064"/>
      <w:r/>
      <w:bookmarkStart w:id="167" w:name="_Toc76632928"/>
      <w:r>
        <w:rPr>
          <w:rFonts w:hint="eastAsia"/>
          <w:color w:val="000000"/>
          <w:sz w:val="24"/>
          <w:szCs w:val="24"/>
          <w:highlight w:val="none"/>
        </w:rPr>
        <w:t xml:space="preserve">10．允许修改评标结果的情形</w:t>
      </w:r>
      <w:bookmarkEnd w:id="166"/>
      <w:r/>
      <w:bookmarkEnd w:id="167"/>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10.1评标结果汇总完成后，除下列情形外，任何人不得修改评标结果：</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（1）分值汇总计算错误的；</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（2）分项评分超出评分标准范围的；</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（3）评标委员会成员对客观评审因素评分不一致的；</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（4）经评标委员会认定评分畸高、畸低的。</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rPr>
          <w:color w:val="000000"/>
          <w:sz w:val="24"/>
          <w:szCs w:val="24"/>
          <w:highlight w:val="none"/>
        </w:rPr>
      </w:r>
      <w:r/>
    </w:p>
    <w:p>
      <w:pPr>
        <w:pStyle w:val="1337"/>
        <w:ind w:firstLine="446"/>
        <w:keepLines w:val="0"/>
        <w:keepNext w:val="0"/>
        <w:spacing w:before="200" w:after="200" w:line="360" w:lineRule="auto"/>
        <w:rPr>
          <w:color w:val="000000"/>
          <w:sz w:val="24"/>
          <w:szCs w:val="24"/>
          <w:highlight w:val="none"/>
        </w:rPr>
      </w:pPr>
      <w:r/>
      <w:bookmarkStart w:id="168" w:name="_Toc256000065"/>
      <w:r/>
      <w:bookmarkStart w:id="169" w:name="_Toc76632929"/>
      <w:r>
        <w:rPr>
          <w:rFonts w:hint="eastAsia"/>
          <w:color w:val="000000"/>
          <w:sz w:val="24"/>
          <w:szCs w:val="24"/>
          <w:highlight w:val="none"/>
        </w:rPr>
        <w:t xml:space="preserve">11．推荐中标候选人</w:t>
      </w:r>
      <w:bookmarkEnd w:id="168"/>
      <w:r/>
      <w:bookmarkEnd w:id="169"/>
      <w:r>
        <w:rPr>
          <w:color w:val="000000"/>
          <w:sz w:val="24"/>
          <w:szCs w:val="24"/>
          <w:highlight w:val="none"/>
        </w:rPr>
      </w:r>
      <w:r/>
    </w:p>
    <w:p>
      <w:pPr>
        <w:pStyle w:val="1131"/>
        <w:ind w:firstLine="480"/>
        <w:jc w:val="left"/>
        <w:widowControl/>
        <w:rPr>
          <w:rFonts w:ascii="宋体" w:hAnsi="宋体" w:cs="宋体"/>
          <w:color w:val="000000"/>
          <w:sz w:val="24"/>
          <w:szCs w:val="24"/>
          <w:highlight w:val="none"/>
        </w:rPr>
        <w:sectPr>
          <w:headerReference w:type="default" r:id="rId16"/>
          <w:footnotePr/>
          <w:endnotePr/>
          <w:type w:val="nextPage"/>
          <w:pgSz w:w="11905" w:h="16838" w:orient="portrait"/>
          <w:pgMar w:top="1134" w:right="1134" w:bottom="1134" w:left="1417" w:header="850" w:footer="850" w:gutter="0"/>
          <w:cols w:num="1" w:sep="0" w:space="1701" w:equalWidth="1"/>
          <w:docGrid w:linePitch="360"/>
        </w:sectPr>
      </w:pPr>
      <w:r/>
      <w:bookmarkStart w:id="170" w:name="EB21271c89f415479b84208b914e0636c3"/>
      <w:r>
        <w:rPr>
          <w:rFonts w:ascii="Wingdings 2" w:hAnsi="Wingdings 2" w:eastAsia="Wingdings 2" w:cs="Wingdings 2"/>
          <w:color w:val="000000"/>
          <w:sz w:val="24"/>
          <w:szCs w:val="24"/>
          <w:highlight w:val="none"/>
        </w:rPr>
        <w:t xml:space="preserve">R</w:t>
      </w:r>
      <w:r>
        <w:rPr>
          <w:rFonts w:hint="eastAsia"/>
          <w:color w:val="000000"/>
          <w:sz w:val="24"/>
          <w:szCs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170"/>
      <w:r>
        <w:rPr>
          <w:rFonts w:ascii="宋体" w:hAnsi="宋体" w:cs="宋体"/>
          <w:color w:val="000000"/>
          <w:sz w:val="24"/>
          <w:szCs w:val="24"/>
          <w:highlight w:val="none"/>
        </w:rPr>
      </w:r>
      <w:r/>
    </w:p>
    <w:p>
      <w:pPr>
        <w:pStyle w:val="1331"/>
        <w:jc w:val="center"/>
        <w:rPr>
          <w:rFonts w:ascii="宋体" w:hAnsi="宋体"/>
          <w:b/>
          <w:color w:val="000000"/>
          <w:szCs w:val="36"/>
          <w:highlight w:val="none"/>
        </w:rPr>
      </w:pPr>
      <w:r/>
      <w:bookmarkStart w:id="171" w:name="_Toc77255446"/>
      <w:r/>
      <w:bookmarkStart w:id="172" w:name="_Toc77255557"/>
      <w:r/>
      <w:bookmarkStart w:id="173" w:name="_Toc9952"/>
      <w:r>
        <w:rPr>
          <w:rFonts w:hint="eastAsia" w:ascii="宋体" w:hAnsi="宋体" w:eastAsia="宋体" w:cs="宋体"/>
          <w:b/>
          <w:bCs/>
          <w:color w:val="000000"/>
          <w:sz w:val="36"/>
          <w:szCs w:val="36"/>
          <w:highlight w:val="none"/>
        </w:rPr>
        <w:t xml:space="preserve">第六部分  投标文件格式</w:t>
      </w:r>
      <w:bookmarkEnd w:id="171"/>
      <w:r/>
      <w:bookmarkEnd w:id="172"/>
      <w:r/>
      <w:bookmarkEnd w:id="173"/>
      <w:r>
        <w:rPr>
          <w:rFonts w:ascii="宋体" w:hAnsi="宋体"/>
          <w:b/>
          <w:color w:val="000000"/>
          <w:szCs w:val="36"/>
          <w:highlight w:val="none"/>
        </w:rPr>
      </w:r>
      <w:r/>
    </w:p>
    <w:p>
      <w:pPr>
        <w:pStyle w:val="1131"/>
        <w:rPr>
          <w:color w:val="000000"/>
          <w:highlight w:val="none"/>
        </w:rPr>
      </w:pPr>
      <w:r/>
      <w:bookmarkStart w:id="174" w:name="EB15428a5d64014c65bf497529f2f91d15"/>
      <w:r>
        <w:rPr>
          <w:color w:val="000000"/>
          <w:highlight w:val="none"/>
        </w:rPr>
      </w:r>
      <w:r/>
    </w:p>
    <w:p>
      <w:pPr>
        <w:pStyle w:val="1578"/>
        <w:jc w:val="center"/>
        <w:rPr>
          <w:rFonts w:eastAsia="宋体"/>
          <w:color w:val="000000"/>
          <w:highlight w:val="none"/>
        </w:rPr>
      </w:pPr>
      <w:r>
        <w:rPr>
          <w:rFonts w:ascii="宋体" w:hAnsi="宋体" w:eastAsia="宋体" w:cs="宋体"/>
          <w:color w:val="000000"/>
          <w:highlight w:val="none"/>
        </w:rPr>
        <w:t xml:space="preserve">﻿ </w:t>
      </w:r>
      <w:r>
        <w:rPr>
          <w:rFonts w:hint="eastAsia" w:ascii="宋体" w:hAnsi="宋体" w:eastAsia="宋体" w:cs="宋体"/>
          <w:color w:val="000000"/>
          <w:highlight w:val="none"/>
        </w:rPr>
        <w:t xml:space="preserve">（以电子投标文件格式为准）</w:t>
      </w:r>
      <w:r>
        <w:rPr>
          <w:rFonts w:eastAsia="宋体"/>
          <w:color w:val="000000"/>
          <w:highlight w:val="none"/>
        </w:rPr>
      </w:r>
      <w:r/>
    </w:p>
    <w:p>
      <w:pPr>
        <w:pStyle w:val="1578"/>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578"/>
        <w:jc w:val="center"/>
        <w:spacing w:before="540" w:after="540"/>
        <w:rPr>
          <w:rFonts w:ascii="宋体" w:hAnsi="宋体" w:eastAsia="宋体" w:cs="宋体"/>
          <w:color w:val="000000"/>
          <w:sz w:val="54"/>
          <w:szCs w:val="54"/>
          <w:highlight w:val="none"/>
        </w:rPr>
      </w:pPr>
      <w:r>
        <w:rPr>
          <w:rFonts w:hint="eastAsia" w:ascii="宋体" w:hAnsi="宋体" w:eastAsia="宋体" w:cs="宋体"/>
          <w:color w:val="000000"/>
          <w:sz w:val="54"/>
          <w:szCs w:val="54"/>
          <w:highlight w:val="none"/>
        </w:rPr>
        <w:t xml:space="preserve">投标</w:t>
      </w:r>
      <w:r>
        <w:rPr>
          <w:rFonts w:ascii="宋体" w:hAnsi="宋体" w:eastAsia="宋体" w:cs="宋体"/>
          <w:color w:val="000000"/>
          <w:sz w:val="54"/>
          <w:szCs w:val="54"/>
          <w:highlight w:val="none"/>
        </w:rPr>
        <w:t xml:space="preserve">文 件</w:t>
      </w:r>
      <w:r>
        <w:rPr>
          <w:rFonts w:ascii="宋体" w:hAnsi="宋体" w:eastAsia="宋体" w:cs="宋体"/>
          <w:color w:val="000000"/>
          <w:sz w:val="54"/>
          <w:szCs w:val="54"/>
          <w:highlight w:val="none"/>
        </w:rPr>
      </w:r>
      <w:r/>
    </w:p>
    <w:p>
      <w:pPr>
        <w:pStyle w:val="1578"/>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578"/>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项目编号：   </w:t>
      </w:r>
      <w:r>
        <w:rPr>
          <w:rFonts w:ascii="宋体" w:hAnsi="宋体" w:eastAsia="宋体" w:cs="宋体"/>
          <w:b/>
          <w:bCs/>
          <w:color w:val="000000"/>
          <w:sz w:val="32"/>
          <w:szCs w:val="32"/>
          <w:highlight w:val="none"/>
        </w:rPr>
      </w:r>
      <w:r/>
    </w:p>
    <w:p>
      <w:pPr>
        <w:pStyle w:val="1578"/>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578"/>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578"/>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项目名称：   </w:t>
      </w:r>
      <w:r>
        <w:rPr>
          <w:rFonts w:ascii="宋体" w:hAnsi="宋体" w:eastAsia="宋体" w:cs="宋体"/>
          <w:b/>
          <w:bCs/>
          <w:color w:val="000000"/>
          <w:sz w:val="32"/>
          <w:szCs w:val="32"/>
          <w:highlight w:val="none"/>
        </w:rPr>
      </w:r>
      <w:r/>
    </w:p>
    <w:p>
      <w:pPr>
        <w:pStyle w:val="1578"/>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578"/>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578"/>
        <w:jc w:val="center"/>
        <w:spacing w:before="320" w:after="320"/>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投标人</w:t>
      </w:r>
      <w:r>
        <w:rPr>
          <w:rFonts w:ascii="宋体" w:hAnsi="宋体" w:eastAsia="宋体" w:cs="宋体"/>
          <w:b/>
          <w:bCs/>
          <w:color w:val="000000"/>
          <w:sz w:val="32"/>
          <w:szCs w:val="32"/>
          <w:highlight w:val="none"/>
        </w:rPr>
        <w:t xml:space="preserve">（公章）：   </w:t>
      </w:r>
      <w:r>
        <w:rPr>
          <w:rFonts w:ascii="宋体" w:hAnsi="宋体" w:eastAsia="宋体" w:cs="宋体"/>
          <w:b/>
          <w:bCs/>
          <w:color w:val="000000"/>
          <w:sz w:val="32"/>
          <w:szCs w:val="32"/>
          <w:highlight w:val="none"/>
        </w:rPr>
      </w:r>
      <w:r/>
    </w:p>
    <w:p>
      <w:pPr>
        <w:pStyle w:val="1578"/>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 </w:t>
      </w:r>
      <w:r>
        <w:rPr>
          <w:rFonts w:ascii="宋体" w:hAnsi="宋体" w:eastAsia="宋体" w:cs="宋体"/>
          <w:b/>
          <w:bCs/>
          <w:color w:val="000000"/>
          <w:sz w:val="32"/>
          <w:szCs w:val="32"/>
          <w:highlight w:val="none"/>
        </w:rPr>
      </w:r>
      <w:r/>
    </w:p>
    <w:p>
      <w:pPr>
        <w:pStyle w:val="1578"/>
        <w:jc w:val="center"/>
        <w:spacing w:before="320" w:after="320" w:line="360" w:lineRule="auto"/>
        <w:rPr>
          <w:rFonts w:ascii="宋体" w:hAnsi="宋体" w:eastAsia="宋体" w:cs="宋体"/>
          <w:color w:val="000000"/>
          <w:sz w:val="32"/>
          <w:szCs w:val="32"/>
          <w:highlight w:val="none"/>
        </w:rPr>
      </w:pPr>
      <w:r>
        <w:rPr>
          <w:rFonts w:ascii="宋体" w:hAnsi="宋体" w:eastAsia="宋体" w:cs="宋体"/>
          <w:color w:val="000000"/>
          <w:sz w:val="32"/>
          <w:szCs w:val="32"/>
          <w:highlight w:val="none"/>
        </w:rPr>
        <w:t xml:space="preserve">日期：   </w:t>
      </w:r>
      <w:r>
        <w:rPr>
          <w:rFonts w:ascii="宋体" w:hAnsi="宋体" w:eastAsia="宋体" w:cs="宋体"/>
          <w:color w:val="000000"/>
          <w:sz w:val="32"/>
          <w:szCs w:val="32"/>
          <w:highlight w:val="none"/>
        </w:rPr>
      </w:r>
      <w:r/>
    </w:p>
    <w:p>
      <w:pPr>
        <w:pStyle w:val="1578"/>
        <w:jc w:val="center"/>
        <w:spacing w:line="360" w:lineRule="auto"/>
        <w:rPr>
          <w:rFonts w:ascii="宋体" w:hAnsi="宋体" w:eastAsia="宋体" w:cs="宋体"/>
          <w:color w:val="000000"/>
          <w:sz w:val="30"/>
          <w:szCs w:val="20"/>
          <w:highlight w:val="none"/>
        </w:rPr>
        <w:sectPr>
          <w:headerReference w:type="default" r:id="rId17"/>
          <w:footerReference w:type="default" r:id="rId29"/>
          <w:footnotePr/>
          <w:endnotePr/>
          <w:type w:val="nextPage"/>
          <w:pgSz w:w="11905" w:h="16838" w:orient="portrait"/>
          <w:pgMar w:top="1134" w:right="1134" w:bottom="1134" w:left="1417" w:header="850" w:footer="850" w:gutter="0"/>
          <w:cols w:num="1" w:sep="0" w:space="1701" w:equalWidth="1"/>
          <w:docGrid w:linePitch="360"/>
        </w:sectPr>
      </w:pPr>
      <w:r>
        <w:rPr>
          <w:color w:val="000000"/>
          <w:highlight w:val="none"/>
        </w:rPr>
      </w:r>
      <w:bookmarkStart w:id="175" w:name="_Toc256000067"/>
      <w:r/>
      <w:bookmarkStart w:id="176" w:name="_Toc142925679"/>
      <w:r>
        <w:rPr>
          <w:rFonts w:hint="eastAsia" w:ascii="宋体" w:hAnsi="宋体" w:eastAsia="宋体" w:cs="宋体"/>
          <w:color w:val="000000"/>
          <w:sz w:val="30"/>
          <w:szCs w:val="20"/>
          <w:highlight w:val="none"/>
        </w:rPr>
        <w:t xml:space="preserve">一、资格部分</w:t>
      </w:r>
      <w:r>
        <w:rPr>
          <w:rFonts w:ascii="宋体" w:hAnsi="宋体" w:eastAsia="宋体" w:cs="宋体"/>
          <w:color w:val="000000"/>
          <w:sz w:val="30"/>
          <w:szCs w:val="20"/>
          <w:highlight w:val="none"/>
        </w:rPr>
      </w:r>
      <w:r/>
    </w:p>
    <w:p>
      <w:pPr>
        <w:pStyle w:val="1705"/>
        <w:jc w:val="center"/>
        <w:rPr>
          <w:color w:val="000000"/>
          <w:highlight w:val="none"/>
        </w:rPr>
        <w:outlineLvl w:val="2"/>
      </w:pPr>
      <w:r/>
      <w:bookmarkEnd w:id="174"/>
      <w:r/>
      <w:bookmarkEnd w:id="175"/>
      <w:r/>
      <w:bookmarkEnd w:id="176"/>
      <w:r/>
      <w:bookmarkStart w:id="177" w:name="page44"/>
      <w:r/>
      <w:bookmarkEnd w:id="177"/>
      <w:r/>
      <w:bookmarkStart w:id="178" w:name="_Toc256000068"/>
      <w:r>
        <w:rPr>
          <w:rFonts w:ascii="宋体" w:hAnsi="宋体" w:eastAsia="宋体" w:cs="宋体"/>
          <w:color w:val="000000"/>
          <w:sz w:val="28"/>
          <w:highlight w:val="none"/>
        </w:rPr>
        <w:t xml:space="preserve">(一)投标函</w:t>
      </w:r>
      <w:bookmarkEnd w:id="178"/>
      <w:r>
        <w:rPr>
          <w:color w:val="000000"/>
          <w:highlight w:val="none"/>
        </w:rPr>
      </w:r>
      <w:r/>
    </w:p>
    <w:p>
      <w:pPr>
        <w:pStyle w:val="1706"/>
        <w:jc w:val="center"/>
        <w:rPr>
          <w:rFonts w:ascii="黑体" w:hAnsi="黑体" w:eastAsia="黑体" w:cs="黑体"/>
          <w:b/>
          <w:bCs/>
          <w:color w:val="000000"/>
          <w:highlight w:val="none"/>
        </w:rPr>
      </w:pPr>
      <w:r>
        <w:rPr>
          <w:rFonts w:ascii="黑体" w:hAnsi="黑体" w:eastAsia="黑体" w:cs="黑体"/>
          <w:b/>
          <w:bCs/>
          <w:color w:val="000000"/>
          <w:highlight w:val="none"/>
        </w:rPr>
        <w:t xml:space="preserve">投标函</w:t>
      </w:r>
      <w:r>
        <w:rPr>
          <w:rFonts w:ascii="黑体" w:hAnsi="黑体" w:eastAsia="黑体" w:cs="黑体"/>
          <w:b/>
          <w:bCs/>
          <w:color w:val="000000"/>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致</w:t>
      </w:r>
      <w:r>
        <w:rPr>
          <w:rFonts w:hint="eastAsia"/>
          <w:color w:val="000000"/>
          <w:sz w:val="24"/>
          <w:szCs w:val="24"/>
          <w:highlight w:val="none"/>
          <w:u w:val="single"/>
        </w:rPr>
        <w:t xml:space="preserve">（招标组织方）</w:t>
      </w:r>
      <w:r>
        <w:rPr>
          <w:rFonts w:hint="eastAsia"/>
          <w:color w:val="000000"/>
          <w:sz w:val="24"/>
          <w:szCs w:val="24"/>
          <w:highlight w:val="none"/>
        </w:rPr>
        <w:t xml:space="preserve">：</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根据贵方关于</w:t>
      </w:r>
      <w:r>
        <w:rPr>
          <w:rFonts w:hint="eastAsia"/>
          <w:color w:val="000000"/>
          <w:sz w:val="24"/>
          <w:szCs w:val="24"/>
          <w:highlight w:val="none"/>
          <w:u w:val="single"/>
        </w:rPr>
        <w:t xml:space="preserve">（项目名称）（项目编号： ）</w:t>
      </w:r>
      <w:r>
        <w:rPr>
          <w:rFonts w:hint="eastAsia"/>
          <w:color w:val="000000"/>
          <w:sz w:val="24"/>
          <w:szCs w:val="24"/>
          <w:highlight w:val="none"/>
        </w:rPr>
        <w:t xml:space="preserve">的投标邀请，我方已完全理解招标文件的所有内容。</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据此函，我方兹宣布同意如下：</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1．按招标文件规定提供服务的唯一投标报价见开标一览表。</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2．我方承诺根据招标文件的规定，完成合同义务，并承担责任（如有偏离，在投标文件中另作说明）。</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3．我方已详读全部招标文件，包括招标文件书面修改通知（如有），我方完全理解并同意放弃对这方面不明及误解的权利。</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5．我方同意从规定的招标日期起遵循本招标文件，并在规定的投标有效期期满之前均具有约束力。</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6．我方同意向贵方提供贵方可能要求的与本投标有关的任何证据或资料。</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7．我方知道如用虚假材料或恶意方式向贵方提出质疑，将承担相应的法律责任。同时承诺：我方如果有上述行为，将无条件承担贵方相关的调查论证费用。</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8．我方承诺：参加政府采购活动前三年内，在经营活动中没有重大违法记录。</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9．本次投标文件内容与招标文件内容偏离情况见偏离说明（如有）。</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10．遵守招标文件中要求的收费项目和标准。</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11．与本投标有关的一切正式往来通讯请寄：</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地址：                                  电话：</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投标人（公章）：                           </w:t>
      </w:r>
      <w:r>
        <w:rPr>
          <w:color w:val="000000"/>
          <w:sz w:val="24"/>
          <w:szCs w:val="24"/>
          <w:highlight w:val="none"/>
        </w:rPr>
      </w:r>
      <w:r/>
    </w:p>
    <w:p>
      <w:pPr>
        <w:pStyle w:val="1131"/>
        <w:ind w:firstLine="480"/>
        <w:spacing w:line="360" w:lineRule="auto"/>
        <w:rPr>
          <w:color w:val="000000"/>
          <w:sz w:val="24"/>
          <w:szCs w:val="24"/>
          <w:highlight w:val="none"/>
        </w:rPr>
      </w:pPr>
      <w:r>
        <w:rPr>
          <w:rFonts w:hint="eastAsia"/>
          <w:color w:val="000000"/>
          <w:sz w:val="24"/>
          <w:szCs w:val="24"/>
          <w:highlight w:val="none"/>
        </w:rPr>
        <w:t xml:space="preserve">法定代表人签章：                        日期：</w:t>
      </w:r>
      <w:r>
        <w:rPr>
          <w:color w:val="000000"/>
          <w:sz w:val="24"/>
          <w:szCs w:val="24"/>
          <w:highlight w:val="none"/>
        </w:rPr>
      </w:r>
      <w:r/>
    </w:p>
    <w:p>
      <w:pPr>
        <w:pStyle w:val="1707"/>
        <w:jc w:val="center"/>
        <w:rPr>
          <w:color w:val="000000"/>
          <w:highlight w:val="none"/>
        </w:rPr>
        <w:outlineLvl w:val="2"/>
      </w:pPr>
      <w:r>
        <w:rPr>
          <w:color w:val="000000"/>
          <w:highlight w:val="none"/>
        </w:rPr>
        <w:br w:type="page" w:clear="all"/>
      </w:r>
      <w:bookmarkStart w:id="179" w:name="_Toc256000069"/>
      <w:r>
        <w:rPr>
          <w:rFonts w:ascii="宋体" w:hAnsi="宋体" w:eastAsia="宋体" w:cs="宋体"/>
          <w:color w:val="000000"/>
          <w:highlight w:val="none"/>
        </w:rPr>
        <w:t xml:space="preserve">(二)独立承担民事责任的能力</w:t>
      </w:r>
      <w:bookmarkEnd w:id="179"/>
      <w:r>
        <w:rPr>
          <w:color w:val="000000"/>
          <w:highlight w:val="none"/>
        </w:rPr>
      </w:r>
      <w:r/>
    </w:p>
    <w:p>
      <w:pPr>
        <w:pStyle w:val="1639"/>
        <w:ind w:firstLine="480"/>
        <w:spacing w:line="360" w:lineRule="auto"/>
        <w:rPr>
          <w:color w:val="000000"/>
          <w:sz w:val="24"/>
          <w:szCs w:val="24"/>
          <w:highlight w:val="none"/>
        </w:rPr>
      </w:pPr>
      <w:r>
        <w:rPr>
          <w:rFonts w:hint="eastAsia"/>
          <w:color w:val="000000"/>
          <w:sz w:val="24"/>
          <w:szCs w:val="24"/>
          <w:highlight w:val="none"/>
        </w:rPr>
        <w:t xml:space="preserve">提供法人或者其他组织的营业执照等证明文件复印件；投标人为自然人的，提供其身份证复印件。</w:t>
      </w:r>
      <w:r>
        <w:rPr>
          <w:color w:val="000000"/>
          <w:sz w:val="24"/>
          <w:szCs w:val="24"/>
          <w:highlight w:val="none"/>
        </w:rPr>
      </w:r>
      <w:r/>
    </w:p>
    <w:p>
      <w:pPr>
        <w:pStyle w:val="1708"/>
        <w:jc w:val="center"/>
        <w:rPr>
          <w:color w:val="000000"/>
          <w:highlight w:val="none"/>
        </w:rPr>
        <w:outlineLvl w:val="2"/>
      </w:pPr>
      <w:r>
        <w:rPr>
          <w:color w:val="000000"/>
          <w:highlight w:val="none"/>
        </w:rPr>
        <w:br w:type="page" w:clear="all"/>
      </w:r>
      <w:bookmarkStart w:id="180" w:name="_Toc256000070"/>
      <w:r>
        <w:rPr>
          <w:rFonts w:ascii="宋体" w:hAnsi="宋体" w:eastAsia="宋体" w:cs="宋体"/>
          <w:color w:val="000000"/>
          <w:highlight w:val="none"/>
        </w:rPr>
        <w:t xml:space="preserve">(三)良好的商业信誉和健全的财务会计制度</w:t>
      </w:r>
      <w:bookmarkEnd w:id="180"/>
      <w:r>
        <w:rPr>
          <w:color w:val="000000"/>
          <w:highlight w:val="none"/>
        </w:rPr>
      </w:r>
      <w:r/>
    </w:p>
    <w:p>
      <w:pPr>
        <w:pStyle w:val="1511"/>
        <w:rPr>
          <w:color w:val="000000"/>
          <w:sz w:val="24"/>
          <w:szCs w:val="24"/>
          <w:highlight w:val="none"/>
        </w:rPr>
      </w:pPr>
      <w:r>
        <w:rPr>
          <w:color w:val="000000"/>
          <w:sz w:val="24"/>
          <w:szCs w:val="24"/>
          <w:highlight w:val="none"/>
        </w:rPr>
      </w:r>
      <w:r/>
    </w:p>
    <w:p>
      <w:pPr>
        <w:pStyle w:val="1639"/>
        <w:ind w:firstLine="480"/>
        <w:spacing w:line="360" w:lineRule="auto"/>
        <w:rPr>
          <w:color w:val="000000"/>
          <w:sz w:val="24"/>
          <w:szCs w:val="24"/>
          <w:highlight w:val="none"/>
        </w:rPr>
      </w:pPr>
      <w:r>
        <w:rPr>
          <w:rFonts w:hint="eastAsia"/>
          <w:color w:val="000000"/>
          <w:sz w:val="24"/>
          <w:szCs w:val="24"/>
          <w:highlight w:val="none"/>
        </w:rPr>
        <w:t xml:space="preserve">提供2024年度财务报告、成立不满一年的提供至少一个月财务报告，或银行出具的资信证明，或财政部门认可的政府采购专业担保机构出具的投标担保函等，或提供</w:t>
      </w:r>
      <w:bookmarkStart w:id="181" w:name="_Hlk131494070"/>
      <w:r>
        <w:rPr>
          <w:rFonts w:hint="eastAsia"/>
          <w:color w:val="000000"/>
          <w:sz w:val="24"/>
          <w:szCs w:val="24"/>
          <w:highlight w:val="none"/>
        </w:rPr>
        <w:t xml:space="preserve">资格承诺函</w:t>
      </w:r>
      <w:bookmarkEnd w:id="181"/>
      <w:r>
        <w:rPr>
          <w:rFonts w:hint="eastAsia"/>
          <w:color w:val="000000"/>
          <w:sz w:val="24"/>
          <w:szCs w:val="24"/>
          <w:highlight w:val="none"/>
        </w:rPr>
        <w:t xml:space="preserve">。</w:t>
      </w:r>
      <w:r>
        <w:rPr>
          <w:color w:val="000000"/>
          <w:sz w:val="24"/>
          <w:szCs w:val="24"/>
          <w:highlight w:val="none"/>
        </w:rPr>
      </w:r>
      <w:r/>
    </w:p>
    <w:p>
      <w:pPr>
        <w:pStyle w:val="1131"/>
        <w:ind w:firstLine="560"/>
        <w:jc w:val="center"/>
        <w:spacing w:line="360" w:lineRule="auto"/>
        <w:rPr>
          <w:rFonts w:cs="宋体"/>
          <w:color w:val="000000"/>
          <w:sz w:val="24"/>
          <w:szCs w:val="24"/>
          <w:highlight w:val="none"/>
        </w:rPr>
      </w:pPr>
      <w:r>
        <w:rPr>
          <w:rFonts w:hint="eastAsia" w:cs="宋体"/>
          <w:color w:val="000000"/>
          <w:sz w:val="24"/>
          <w:szCs w:val="24"/>
          <w:highlight w:val="none"/>
        </w:rPr>
        <w:br w:type="page" w:clear="all"/>
      </w:r>
      <w:r>
        <w:rPr>
          <w:rFonts w:hint="eastAsia" w:cs="宋体"/>
          <w:color w:val="000000"/>
          <w:sz w:val="24"/>
          <w:szCs w:val="24"/>
          <w:highlight w:val="none"/>
        </w:rPr>
        <w:t xml:space="preserve">(四)</w:t>
      </w:r>
      <w:bookmarkStart w:id="182" w:name="_Toc256000071"/>
      <w:r>
        <w:rPr>
          <w:rFonts w:cs="宋体"/>
          <w:color w:val="000000"/>
          <w:sz w:val="24"/>
          <w:szCs w:val="24"/>
          <w:highlight w:val="none"/>
        </w:rPr>
        <w:t xml:space="preserve">履行合同所必需的设备和专业技术能力</w:t>
      </w:r>
      <w:bookmarkEnd w:id="182"/>
      <w:r>
        <w:rPr>
          <w:rFonts w:cs="宋体"/>
          <w:color w:val="000000"/>
          <w:sz w:val="24"/>
          <w:szCs w:val="24"/>
          <w:highlight w:val="none"/>
        </w:rPr>
      </w:r>
      <w:r/>
    </w:p>
    <w:p>
      <w:pPr>
        <w:pStyle w:val="1639"/>
        <w:ind w:firstLine="480"/>
        <w:spacing w:line="360" w:lineRule="auto"/>
        <w:rPr>
          <w:color w:val="000000"/>
          <w:sz w:val="24"/>
          <w:szCs w:val="24"/>
          <w:highlight w:val="none"/>
        </w:rPr>
      </w:pPr>
      <w:r>
        <w:rPr>
          <w:rFonts w:hint="eastAsia"/>
          <w:color w:val="000000"/>
          <w:sz w:val="24"/>
          <w:szCs w:val="24"/>
          <w:highlight w:val="none"/>
        </w:rPr>
        <w:t xml:space="preserve">填写下述表格或提供资格承诺函</w:t>
      </w:r>
      <w:r>
        <w:rPr>
          <w:color w:val="000000"/>
          <w:sz w:val="24"/>
          <w:szCs w:val="24"/>
          <w:highlight w:val="none"/>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6"/>
        <w:gridCol w:w="647"/>
        <w:gridCol w:w="1254"/>
        <w:gridCol w:w="873"/>
        <w:gridCol w:w="1228"/>
        <w:gridCol w:w="1318"/>
        <w:gridCol w:w="518"/>
        <w:gridCol w:w="269"/>
        <w:gridCol w:w="931"/>
        <w:gridCol w:w="2046"/>
      </w:tblGrid>
      <w:tr>
        <w:trPr>
          <w:trHeight w:val="506"/>
        </w:trPr>
        <w:tc>
          <w:tcPr>
            <w:gridSpan w:val="2"/>
            <w:shd w:val="clear" w:color="auto" w:fill="d9d9d9"/>
            <w:tcW w:w="1133" w:type="dxa"/>
            <w:vAlign w:val="center"/>
            <w:textDirection w:val="lrTb"/>
            <w:noWrap/>
          </w:tcPr>
          <w:p>
            <w:pPr>
              <w:pStyle w:val="1709"/>
              <w:jc w:val="center"/>
              <w:rPr>
                <w:rFonts w:ascii="宋体" w:hAnsi="宋体"/>
                <w:b/>
                <w:color w:val="000000"/>
                <w:sz w:val="24"/>
                <w:szCs w:val="24"/>
                <w:highlight w:val="none"/>
              </w:rPr>
            </w:pPr>
            <w:r>
              <w:rPr>
                <w:rFonts w:ascii="宋体" w:hAnsi="宋体"/>
                <w:color w:val="000000"/>
                <w:sz w:val="24"/>
                <w:szCs w:val="24"/>
                <w:highlight w:val="none"/>
              </w:rPr>
              <w:br w:type="page" w:clear="all"/>
            </w:r>
            <w:r>
              <w:rPr>
                <w:rFonts w:hint="eastAsia" w:ascii="宋体" w:hAnsi="宋体"/>
                <w:b/>
                <w:color w:val="000000"/>
                <w:sz w:val="24"/>
                <w:szCs w:val="24"/>
                <w:highlight w:val="none"/>
              </w:rPr>
              <w:t xml:space="preserve">一</w:t>
            </w:r>
            <w:r>
              <w:rPr>
                <w:rFonts w:ascii="宋体" w:hAnsi="宋体"/>
                <w:b/>
                <w:color w:val="000000"/>
                <w:sz w:val="24"/>
                <w:szCs w:val="24"/>
                <w:highlight w:val="none"/>
              </w:rPr>
            </w:r>
            <w:r/>
          </w:p>
        </w:tc>
        <w:tc>
          <w:tcPr>
            <w:gridSpan w:val="8"/>
            <w:shd w:val="clear" w:color="auto" w:fill="d9d9d9"/>
            <w:tcW w:w="8437" w:type="dxa"/>
            <w:vAlign w:val="center"/>
            <w:textDirection w:val="lrTb"/>
            <w:noWrap/>
          </w:tcPr>
          <w:p>
            <w:pPr>
              <w:pStyle w:val="1709"/>
              <w:jc w:val="center"/>
              <w:rPr>
                <w:rFonts w:ascii="宋体" w:hAnsi="宋体"/>
                <w:b/>
                <w:color w:val="000000"/>
                <w:sz w:val="24"/>
                <w:szCs w:val="24"/>
                <w:highlight w:val="none"/>
              </w:rPr>
            </w:pPr>
            <w:r>
              <w:rPr>
                <w:rFonts w:hint="eastAsia" w:ascii="宋体" w:hAnsi="宋体"/>
                <w:b/>
                <w:color w:val="000000"/>
                <w:sz w:val="24"/>
                <w:szCs w:val="24"/>
                <w:highlight w:val="none"/>
              </w:rPr>
              <w:t xml:space="preserve">公司基本信息</w:t>
            </w:r>
            <w:r>
              <w:rPr>
                <w:rFonts w:ascii="宋体" w:hAnsi="宋体"/>
                <w:b/>
                <w:color w:val="000000"/>
                <w:sz w:val="24"/>
                <w:szCs w:val="24"/>
                <w:highlight w:val="none"/>
              </w:rPr>
            </w:r>
            <w:r/>
          </w:p>
        </w:tc>
      </w:tr>
      <w:tr>
        <w:trPr>
          <w:trHeight w:val="506"/>
        </w:trPr>
        <w:tc>
          <w:tcPr>
            <w:gridSpan w:val="2"/>
            <w:tcW w:w="1133"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737" w:type="dxa"/>
            <w:vAlign w:val="center"/>
            <w:textDirection w:val="lrTb"/>
            <w:noWrap/>
          </w:tcPr>
          <w:p>
            <w:pPr>
              <w:pStyle w:val="1709"/>
              <w:rPr>
                <w:rFonts w:ascii="宋体" w:hAnsi="宋体"/>
                <w:color w:val="000000"/>
                <w:sz w:val="24"/>
                <w:szCs w:val="24"/>
                <w:highlight w:val="none"/>
              </w:rPr>
            </w:pPr>
            <w:r>
              <w:rPr>
                <w:rFonts w:hint="eastAsia" w:ascii="宋体" w:hAnsi="宋体"/>
                <w:color w:val="000000"/>
                <w:sz w:val="24"/>
                <w:szCs w:val="24"/>
                <w:highlight w:val="none"/>
              </w:rPr>
              <w:t xml:space="preserve">公司名称</w:t>
            </w:r>
            <w:r>
              <w:rPr>
                <w:rFonts w:ascii="宋体" w:hAnsi="宋体"/>
                <w:color w:val="000000"/>
                <w:sz w:val="24"/>
                <w:szCs w:val="24"/>
                <w:highlight w:val="none"/>
              </w:rPr>
            </w:r>
            <w:r/>
          </w:p>
        </w:tc>
        <w:tc>
          <w:tcPr>
            <w:gridSpan w:val="7"/>
            <w:tcW w:w="7183" w:type="dxa"/>
            <w:vAlign w:val="center"/>
            <w:textDirection w:val="lrTb"/>
            <w:noWrap/>
          </w:tcPr>
          <w:p>
            <w:pPr>
              <w:pStyle w:val="1709"/>
              <w:jc w:val="center"/>
              <w:rPr>
                <w:rFonts w:ascii="宋体" w:hAnsi="宋体"/>
                <w:color w:val="000000"/>
                <w:sz w:val="24"/>
                <w:szCs w:val="24"/>
                <w:highlight w:val="none"/>
              </w:rPr>
            </w:pPr>
            <w:r>
              <w:rPr>
                <w:rFonts w:ascii="宋体" w:hAnsi="宋体"/>
                <w:color w:val="000000"/>
                <w:sz w:val="24"/>
                <w:szCs w:val="24"/>
                <w:highlight w:val="none"/>
              </w:rPr>
            </w:r>
            <w:r/>
          </w:p>
        </w:tc>
      </w:tr>
      <w:tr>
        <w:trPr>
          <w:trHeight w:val="455"/>
        </w:trPr>
        <w:tc>
          <w:tcPr>
            <w:gridSpan w:val="2"/>
            <w:tcW w:w="1133"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737"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注册资金</w:t>
            </w:r>
            <w:r>
              <w:rPr>
                <w:rFonts w:ascii="宋体" w:hAnsi="宋体"/>
                <w:color w:val="000000"/>
                <w:sz w:val="24"/>
                <w:szCs w:val="24"/>
                <w:highlight w:val="none"/>
              </w:rPr>
            </w:r>
            <w:r/>
          </w:p>
        </w:tc>
        <w:tc>
          <w:tcPr>
            <w:tcW w:w="819" w:type="dxa"/>
            <w:vAlign w:val="center"/>
            <w:textDirection w:val="lrTb"/>
            <w:noWrap/>
          </w:tcPr>
          <w:p>
            <w:pPr>
              <w:pStyle w:val="1709"/>
              <w:jc w:val="center"/>
              <w:rPr>
                <w:rFonts w:ascii="宋体" w:hAnsi="宋体"/>
                <w:color w:val="000000"/>
                <w:sz w:val="24"/>
                <w:szCs w:val="24"/>
                <w:highlight w:val="none"/>
              </w:rPr>
            </w:pPr>
            <w:r>
              <w:rPr>
                <w:rFonts w:ascii="宋体" w:hAnsi="宋体"/>
                <w:color w:val="000000"/>
                <w:sz w:val="24"/>
                <w:szCs w:val="24"/>
                <w:highlight w:val="none"/>
              </w:rPr>
            </w:r>
            <w:r/>
          </w:p>
        </w:tc>
        <w:tc>
          <w:tcPr>
            <w:tcW w:w="724"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gridSpan w:val="3"/>
            <w:tcW w:w="2105"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公司地址</w:t>
            </w:r>
            <w:r>
              <w:rPr>
                <w:rFonts w:ascii="宋体" w:hAnsi="宋体"/>
                <w:color w:val="000000"/>
                <w:sz w:val="24"/>
                <w:szCs w:val="24"/>
                <w:highlight w:val="none"/>
              </w:rPr>
            </w:r>
            <w:r/>
          </w:p>
        </w:tc>
        <w:tc>
          <w:tcPr>
            <w:gridSpan w:val="2"/>
            <w:tcW w:w="2977" w:type="dxa"/>
            <w:vAlign w:val="center"/>
            <w:textDirection w:val="lrTb"/>
            <w:noWrap/>
          </w:tcPr>
          <w:p>
            <w:pPr>
              <w:pStyle w:val="1709"/>
              <w:jc w:val="center"/>
              <w:rPr>
                <w:rFonts w:ascii="宋体" w:hAnsi="宋体"/>
                <w:color w:val="000000"/>
                <w:sz w:val="24"/>
                <w:szCs w:val="24"/>
                <w:highlight w:val="none"/>
              </w:rPr>
            </w:pPr>
            <w:r>
              <w:rPr>
                <w:rFonts w:ascii="宋体" w:hAnsi="宋体"/>
                <w:color w:val="000000"/>
                <w:sz w:val="24"/>
                <w:szCs w:val="24"/>
                <w:highlight w:val="none"/>
              </w:rPr>
            </w:r>
            <w:r/>
          </w:p>
        </w:tc>
      </w:tr>
      <w:tr>
        <w:trPr>
          <w:trHeight w:val="460"/>
        </w:trPr>
        <w:tc>
          <w:tcPr>
            <w:gridSpan w:val="2"/>
            <w:tcW w:w="1133"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tcW w:w="737"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从业人数</w:t>
            </w:r>
            <w:r>
              <w:rPr>
                <w:rFonts w:ascii="宋体" w:hAnsi="宋体"/>
                <w:color w:val="000000"/>
                <w:sz w:val="24"/>
                <w:szCs w:val="24"/>
                <w:highlight w:val="none"/>
              </w:rPr>
            </w:r>
            <w:r/>
          </w:p>
        </w:tc>
        <w:tc>
          <w:tcPr>
            <w:tcW w:w="819" w:type="dxa"/>
            <w:vAlign w:val="center"/>
            <w:textDirection w:val="lrTb"/>
            <w:noWrap/>
          </w:tcPr>
          <w:p>
            <w:pPr>
              <w:pStyle w:val="1709"/>
              <w:jc w:val="center"/>
              <w:rPr>
                <w:rFonts w:ascii="宋体" w:hAnsi="宋体"/>
                <w:color w:val="000000"/>
                <w:sz w:val="24"/>
                <w:szCs w:val="24"/>
                <w:highlight w:val="none"/>
              </w:rPr>
            </w:pPr>
            <w:r>
              <w:rPr>
                <w:rFonts w:ascii="宋体" w:hAnsi="宋体"/>
                <w:color w:val="000000"/>
                <w:sz w:val="24"/>
                <w:szCs w:val="24"/>
                <w:highlight w:val="none"/>
              </w:rPr>
            </w:r>
            <w:r/>
          </w:p>
        </w:tc>
        <w:tc>
          <w:tcPr>
            <w:tcW w:w="724"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r>
            <w:r/>
          </w:p>
        </w:tc>
        <w:tc>
          <w:tcPr>
            <w:gridSpan w:val="3"/>
            <w:tcW w:w="2105"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法定代表人</w:t>
            </w:r>
            <w:r>
              <w:rPr>
                <w:rFonts w:ascii="宋体" w:hAnsi="宋体"/>
                <w:color w:val="000000"/>
                <w:sz w:val="24"/>
                <w:szCs w:val="24"/>
                <w:highlight w:val="none"/>
              </w:rPr>
            </w:r>
            <w:r/>
          </w:p>
        </w:tc>
        <w:tc>
          <w:tcPr>
            <w:gridSpan w:val="2"/>
            <w:tcW w:w="2977" w:type="dxa"/>
            <w:vAlign w:val="center"/>
            <w:textDirection w:val="lrTb"/>
            <w:noWrap/>
          </w:tcPr>
          <w:p>
            <w:pPr>
              <w:pStyle w:val="1709"/>
              <w:jc w:val="center"/>
              <w:rPr>
                <w:rFonts w:ascii="宋体" w:hAnsi="宋体"/>
                <w:color w:val="000000"/>
                <w:sz w:val="24"/>
                <w:szCs w:val="24"/>
                <w:highlight w:val="none"/>
              </w:rPr>
            </w:pPr>
            <w:r>
              <w:rPr>
                <w:rFonts w:ascii="宋体" w:hAnsi="宋体"/>
                <w:color w:val="000000"/>
                <w:sz w:val="24"/>
                <w:szCs w:val="24"/>
                <w:highlight w:val="none"/>
              </w:rPr>
            </w:r>
            <w:r/>
          </w:p>
        </w:tc>
      </w:tr>
      <w:tr>
        <w:trPr>
          <w:trHeight w:val="467"/>
        </w:trPr>
        <w:tc>
          <w:tcPr>
            <w:gridSpan w:val="2"/>
            <w:tcW w:w="1133"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r>
            <w:r/>
          </w:p>
        </w:tc>
        <w:tc>
          <w:tcPr>
            <w:tcW w:w="737"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开户银行</w:t>
            </w:r>
            <w:r>
              <w:rPr>
                <w:rFonts w:ascii="宋体" w:hAnsi="宋体"/>
                <w:color w:val="000000"/>
                <w:sz w:val="24"/>
                <w:szCs w:val="24"/>
                <w:highlight w:val="none"/>
              </w:rPr>
            </w:r>
            <w:r/>
          </w:p>
        </w:tc>
        <w:tc>
          <w:tcPr>
            <w:tcW w:w="819" w:type="dxa"/>
            <w:vAlign w:val="center"/>
            <w:textDirection w:val="lrTb"/>
            <w:noWrap/>
          </w:tcPr>
          <w:p>
            <w:pPr>
              <w:pStyle w:val="1709"/>
              <w:jc w:val="center"/>
              <w:rPr>
                <w:rFonts w:ascii="宋体" w:hAnsi="宋体"/>
                <w:color w:val="000000"/>
                <w:sz w:val="24"/>
                <w:szCs w:val="24"/>
                <w:highlight w:val="none"/>
              </w:rPr>
            </w:pPr>
            <w:r>
              <w:rPr>
                <w:rFonts w:ascii="宋体" w:hAnsi="宋体"/>
                <w:color w:val="000000"/>
                <w:sz w:val="24"/>
                <w:szCs w:val="24"/>
                <w:highlight w:val="none"/>
              </w:rPr>
            </w:r>
            <w:r/>
          </w:p>
        </w:tc>
        <w:tc>
          <w:tcPr>
            <w:tcW w:w="724"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r>
            <w:r/>
          </w:p>
        </w:tc>
        <w:tc>
          <w:tcPr>
            <w:gridSpan w:val="3"/>
            <w:tcW w:w="2105"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账号</w:t>
            </w:r>
            <w:r>
              <w:rPr>
                <w:rFonts w:ascii="宋体" w:hAnsi="宋体"/>
                <w:color w:val="000000"/>
                <w:sz w:val="24"/>
                <w:szCs w:val="24"/>
                <w:highlight w:val="none"/>
              </w:rPr>
            </w:r>
            <w:r/>
          </w:p>
        </w:tc>
        <w:tc>
          <w:tcPr>
            <w:gridSpan w:val="2"/>
            <w:tcW w:w="2977" w:type="dxa"/>
            <w:vAlign w:val="center"/>
            <w:textDirection w:val="lrTb"/>
            <w:noWrap/>
          </w:tcPr>
          <w:p>
            <w:pPr>
              <w:pStyle w:val="1709"/>
              <w:jc w:val="center"/>
              <w:rPr>
                <w:rFonts w:ascii="宋体" w:hAnsi="宋体"/>
                <w:color w:val="000000"/>
                <w:sz w:val="24"/>
                <w:szCs w:val="24"/>
                <w:highlight w:val="none"/>
              </w:rPr>
            </w:pPr>
            <w:r>
              <w:rPr>
                <w:rFonts w:ascii="宋体" w:hAnsi="宋体"/>
                <w:color w:val="000000"/>
                <w:sz w:val="24"/>
                <w:szCs w:val="24"/>
                <w:highlight w:val="none"/>
              </w:rPr>
            </w:r>
            <w:r/>
          </w:p>
        </w:tc>
      </w:tr>
      <w:tr>
        <w:trPr>
          <w:trHeight w:val="467"/>
        </w:trPr>
        <w:tc>
          <w:tcPr>
            <w:gridSpan w:val="2"/>
            <w:tcW w:w="1133"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r>
            <w:r/>
          </w:p>
        </w:tc>
        <w:tc>
          <w:tcPr>
            <w:tcW w:w="737"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项目联系人</w:t>
            </w:r>
            <w:r>
              <w:rPr>
                <w:rFonts w:ascii="宋体" w:hAnsi="宋体"/>
                <w:color w:val="000000"/>
                <w:sz w:val="24"/>
                <w:szCs w:val="24"/>
                <w:highlight w:val="none"/>
              </w:rPr>
            </w:r>
            <w:r/>
          </w:p>
        </w:tc>
        <w:tc>
          <w:tcPr>
            <w:tcW w:w="819" w:type="dxa"/>
            <w:vAlign w:val="center"/>
            <w:textDirection w:val="lrTb"/>
            <w:noWrap/>
          </w:tcPr>
          <w:p>
            <w:pPr>
              <w:pStyle w:val="1709"/>
              <w:jc w:val="center"/>
              <w:rPr>
                <w:rFonts w:ascii="宋体" w:hAnsi="宋体"/>
                <w:color w:val="000000"/>
                <w:sz w:val="24"/>
                <w:szCs w:val="24"/>
                <w:highlight w:val="none"/>
              </w:rPr>
            </w:pPr>
            <w:r>
              <w:rPr>
                <w:rFonts w:ascii="宋体" w:hAnsi="宋体"/>
                <w:color w:val="000000"/>
                <w:sz w:val="24"/>
                <w:szCs w:val="24"/>
                <w:highlight w:val="none"/>
              </w:rPr>
            </w:r>
            <w:r/>
          </w:p>
        </w:tc>
        <w:tc>
          <w:tcPr>
            <w:tcW w:w="724"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r>
            <w:r/>
          </w:p>
        </w:tc>
        <w:tc>
          <w:tcPr>
            <w:gridSpan w:val="3"/>
            <w:tcW w:w="2105"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联系电话</w:t>
            </w:r>
            <w:r>
              <w:rPr>
                <w:rFonts w:ascii="宋体" w:hAnsi="宋体"/>
                <w:color w:val="000000"/>
                <w:sz w:val="24"/>
                <w:szCs w:val="24"/>
                <w:highlight w:val="none"/>
              </w:rPr>
            </w:r>
            <w:r/>
          </w:p>
        </w:tc>
        <w:tc>
          <w:tcPr>
            <w:gridSpan w:val="2"/>
            <w:tcW w:w="2977" w:type="dxa"/>
            <w:vAlign w:val="center"/>
            <w:textDirection w:val="lrTb"/>
            <w:noWrap/>
          </w:tcPr>
          <w:p>
            <w:pPr>
              <w:pStyle w:val="1709"/>
              <w:jc w:val="center"/>
              <w:rPr>
                <w:rFonts w:ascii="宋体" w:hAnsi="宋体"/>
                <w:color w:val="000000"/>
                <w:sz w:val="24"/>
                <w:szCs w:val="24"/>
                <w:highlight w:val="none"/>
              </w:rPr>
            </w:pPr>
            <w:r>
              <w:rPr>
                <w:rFonts w:ascii="宋体" w:hAnsi="宋体"/>
                <w:color w:val="000000"/>
                <w:sz w:val="24"/>
                <w:szCs w:val="24"/>
                <w:highlight w:val="none"/>
              </w:rPr>
            </w:r>
            <w:r/>
          </w:p>
        </w:tc>
      </w:tr>
      <w:tr>
        <w:trPr>
          <w:trHeight w:val="444"/>
        </w:trPr>
        <w:tc>
          <w:tcPr>
            <w:gridSpan w:val="2"/>
            <w:shd w:val="clear" w:color="auto" w:fill="d9d9d9"/>
            <w:tcW w:w="1133" w:type="dxa"/>
            <w:vAlign w:val="center"/>
            <w:textDirection w:val="lrTb"/>
            <w:noWrap/>
          </w:tcPr>
          <w:p>
            <w:pPr>
              <w:pStyle w:val="1709"/>
              <w:jc w:val="center"/>
              <w:rPr>
                <w:rFonts w:ascii="宋体" w:hAnsi="宋体"/>
                <w:b/>
                <w:color w:val="000000"/>
                <w:sz w:val="24"/>
                <w:szCs w:val="24"/>
                <w:highlight w:val="none"/>
              </w:rPr>
            </w:pPr>
            <w:r>
              <w:rPr>
                <w:rFonts w:hint="eastAsia" w:ascii="宋体" w:hAnsi="宋体"/>
                <w:b/>
                <w:color w:val="000000"/>
                <w:sz w:val="24"/>
                <w:szCs w:val="24"/>
                <w:highlight w:val="none"/>
              </w:rPr>
              <w:t xml:space="preserve">二</w:t>
            </w:r>
            <w:r>
              <w:rPr>
                <w:rFonts w:ascii="宋体" w:hAnsi="宋体"/>
                <w:b/>
                <w:color w:val="000000"/>
                <w:sz w:val="24"/>
                <w:szCs w:val="24"/>
                <w:highlight w:val="none"/>
              </w:rPr>
            </w:r>
            <w:r/>
          </w:p>
        </w:tc>
        <w:tc>
          <w:tcPr>
            <w:gridSpan w:val="8"/>
            <w:shd w:val="clear" w:color="auto" w:fill="d9d9d9"/>
            <w:tcW w:w="8437" w:type="dxa"/>
            <w:vAlign w:val="center"/>
            <w:textDirection w:val="lrTb"/>
            <w:noWrap/>
          </w:tcPr>
          <w:p>
            <w:pPr>
              <w:pStyle w:val="1709"/>
              <w:jc w:val="center"/>
              <w:rPr>
                <w:rFonts w:ascii="宋体" w:hAnsi="宋体"/>
                <w:b/>
                <w:color w:val="000000"/>
                <w:sz w:val="24"/>
                <w:szCs w:val="24"/>
                <w:highlight w:val="none"/>
              </w:rPr>
            </w:pPr>
            <w:r>
              <w:rPr>
                <w:rFonts w:hint="eastAsia" w:ascii="宋体" w:hAnsi="宋体"/>
                <w:b/>
                <w:color w:val="000000"/>
                <w:sz w:val="24"/>
                <w:szCs w:val="24"/>
                <w:highlight w:val="none"/>
              </w:rPr>
              <w:t xml:space="preserve">公司财务状况</w:t>
            </w:r>
            <w:r>
              <w:rPr>
                <w:rFonts w:ascii="宋体" w:hAnsi="宋体"/>
                <w:b/>
                <w:color w:val="000000"/>
                <w:sz w:val="24"/>
                <w:szCs w:val="24"/>
                <w:highlight w:val="none"/>
              </w:rPr>
            </w:r>
            <w:r/>
          </w:p>
        </w:tc>
      </w:tr>
      <w:tr>
        <w:trPr>
          <w:trHeight w:val="467"/>
        </w:trPr>
        <w:tc>
          <w:tcPr>
            <w:gridSpan w:val="2"/>
            <w:tcW w:w="1133" w:type="dxa"/>
            <w:vAlign w:val="center"/>
            <w:textDirection w:val="lrTb"/>
            <w:noWrap/>
          </w:tcPr>
          <w:p>
            <w:pPr>
              <w:pStyle w:val="1709"/>
              <w:jc w:val="center"/>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r>
            <w:r/>
          </w:p>
        </w:tc>
        <w:tc>
          <w:tcPr>
            <w:gridSpan w:val="8"/>
            <w:tcW w:w="8437" w:type="dxa"/>
            <w:vAlign w:val="center"/>
            <w:textDirection w:val="lrTb"/>
            <w:noWrap/>
          </w:tcPr>
          <w:p>
            <w:pPr>
              <w:pStyle w:val="1709"/>
              <w:jc w:val="center"/>
              <w:rPr>
                <w:rFonts w:ascii="宋体" w:hAnsi="宋体"/>
                <w:b/>
                <w:color w:val="000000"/>
                <w:sz w:val="24"/>
                <w:szCs w:val="24"/>
                <w:highlight w:val="none"/>
              </w:rPr>
            </w:pPr>
            <w:r>
              <w:rPr>
                <w:rFonts w:hint="eastAsia" w:ascii="宋体" w:hAnsi="宋体"/>
                <w:b/>
                <w:color w:val="000000"/>
                <w:sz w:val="24"/>
                <w:szCs w:val="24"/>
                <w:highlight w:val="none"/>
                <w:u w:val="single"/>
              </w:rPr>
              <w:t xml:space="preserve">2024</w:t>
            </w:r>
            <w:r>
              <w:rPr>
                <w:rFonts w:hint="eastAsia" w:ascii="宋体" w:hAnsi="宋体"/>
                <w:b/>
                <w:color w:val="000000"/>
                <w:sz w:val="24"/>
                <w:szCs w:val="24"/>
                <w:highlight w:val="none"/>
              </w:rPr>
              <w:t xml:space="preserve">年度财务状况</w:t>
            </w:r>
            <w:r>
              <w:rPr>
                <w:rFonts w:ascii="宋体" w:hAnsi="宋体"/>
                <w:b/>
                <w:color w:val="000000"/>
                <w:sz w:val="24"/>
                <w:szCs w:val="24"/>
                <w:highlight w:val="none"/>
              </w:rPr>
            </w:r>
            <w:r/>
          </w:p>
        </w:tc>
      </w:tr>
      <w:tr>
        <w:trPr>
          <w:trHeight w:val="682"/>
        </w:trPr>
        <w:tc>
          <w:tcPr>
            <w:gridSpan w:val="2"/>
            <w:tcW w:w="1133"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737"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营业收入（万）：</w:t>
            </w:r>
            <w:r>
              <w:rPr>
                <w:rFonts w:ascii="宋体" w:hAnsi="宋体"/>
                <w:color w:val="000000"/>
                <w:sz w:val="24"/>
                <w:szCs w:val="24"/>
                <w:highlight w:val="none"/>
              </w:rPr>
            </w:r>
            <w:r/>
          </w:p>
        </w:tc>
        <w:tc>
          <w:tcPr>
            <w:tcW w:w="819" w:type="dxa"/>
            <w:vAlign w:val="center"/>
            <w:textDirection w:val="lrTb"/>
            <w:noWrap/>
          </w:tcPr>
          <w:p>
            <w:pPr>
              <w:pStyle w:val="1709"/>
              <w:jc w:val="center"/>
              <w:rPr>
                <w:rFonts w:ascii="宋体" w:hAnsi="宋体"/>
                <w:color w:val="000000"/>
                <w:sz w:val="24"/>
                <w:szCs w:val="24"/>
                <w:highlight w:val="none"/>
              </w:rPr>
            </w:pPr>
            <w:r>
              <w:rPr>
                <w:rFonts w:ascii="宋体" w:hAnsi="宋体"/>
                <w:color w:val="000000"/>
                <w:sz w:val="24"/>
                <w:szCs w:val="24"/>
                <w:highlight w:val="none"/>
              </w:rPr>
            </w:r>
            <w:r/>
          </w:p>
        </w:tc>
        <w:tc>
          <w:tcPr>
            <w:tcW w:w="724"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gridSpan w:val="3"/>
            <w:tcW w:w="2105"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利润总额（万）</w:t>
            </w:r>
            <w:r>
              <w:rPr>
                <w:rFonts w:ascii="宋体" w:hAnsi="宋体"/>
                <w:color w:val="000000"/>
                <w:sz w:val="24"/>
                <w:szCs w:val="24"/>
                <w:highlight w:val="none"/>
              </w:rPr>
            </w:r>
            <w:r/>
          </w:p>
        </w:tc>
        <w:tc>
          <w:tcPr>
            <w:gridSpan w:val="2"/>
            <w:tcW w:w="2977" w:type="dxa"/>
            <w:vAlign w:val="center"/>
            <w:textDirection w:val="lrTb"/>
            <w:noWrap/>
          </w:tcPr>
          <w:p>
            <w:pPr>
              <w:pStyle w:val="1709"/>
              <w:jc w:val="center"/>
              <w:rPr>
                <w:rFonts w:ascii="宋体" w:hAnsi="宋体"/>
                <w:color w:val="000000"/>
                <w:sz w:val="24"/>
                <w:szCs w:val="24"/>
                <w:highlight w:val="none"/>
              </w:rPr>
            </w:pPr>
            <w:r>
              <w:rPr>
                <w:rFonts w:ascii="宋体" w:hAnsi="宋体"/>
                <w:color w:val="000000"/>
                <w:sz w:val="24"/>
                <w:szCs w:val="24"/>
                <w:highlight w:val="none"/>
              </w:rPr>
            </w:r>
            <w:r/>
          </w:p>
        </w:tc>
      </w:tr>
      <w:tr>
        <w:trPr>
          <w:trHeight w:val="763"/>
        </w:trPr>
        <w:tc>
          <w:tcPr>
            <w:gridSpan w:val="2"/>
            <w:tcW w:w="1133"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737"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年末“固定资产合计”（万）</w:t>
            </w:r>
            <w:r>
              <w:rPr>
                <w:rFonts w:ascii="宋体" w:hAnsi="宋体"/>
                <w:color w:val="000000"/>
                <w:sz w:val="24"/>
                <w:szCs w:val="24"/>
                <w:highlight w:val="none"/>
              </w:rPr>
            </w:r>
            <w:r/>
          </w:p>
        </w:tc>
        <w:tc>
          <w:tcPr>
            <w:tcW w:w="819" w:type="dxa"/>
            <w:vAlign w:val="center"/>
            <w:textDirection w:val="lrTb"/>
            <w:noWrap/>
          </w:tcPr>
          <w:p>
            <w:pPr>
              <w:pStyle w:val="1709"/>
              <w:jc w:val="center"/>
              <w:rPr>
                <w:rFonts w:ascii="宋体" w:hAnsi="宋体"/>
                <w:color w:val="000000"/>
                <w:sz w:val="24"/>
                <w:szCs w:val="24"/>
                <w:highlight w:val="none"/>
              </w:rPr>
            </w:pPr>
            <w:r>
              <w:rPr>
                <w:rFonts w:ascii="宋体" w:hAnsi="宋体"/>
                <w:color w:val="000000"/>
                <w:sz w:val="24"/>
                <w:szCs w:val="24"/>
                <w:highlight w:val="none"/>
              </w:rPr>
            </w:r>
            <w:r/>
          </w:p>
        </w:tc>
        <w:tc>
          <w:tcPr>
            <w:tcW w:w="724"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gridSpan w:val="3"/>
            <w:tcW w:w="2105"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年末“流动资产”余额（万）</w:t>
            </w:r>
            <w:r>
              <w:rPr>
                <w:rFonts w:ascii="宋体" w:hAnsi="宋体"/>
                <w:color w:val="000000"/>
                <w:sz w:val="24"/>
                <w:szCs w:val="24"/>
                <w:highlight w:val="none"/>
              </w:rPr>
            </w:r>
            <w:r/>
          </w:p>
        </w:tc>
        <w:tc>
          <w:tcPr>
            <w:gridSpan w:val="2"/>
            <w:tcW w:w="2977" w:type="dxa"/>
            <w:vAlign w:val="center"/>
            <w:textDirection w:val="lrTb"/>
            <w:noWrap/>
          </w:tcPr>
          <w:p>
            <w:pPr>
              <w:pStyle w:val="1709"/>
              <w:jc w:val="center"/>
              <w:rPr>
                <w:rFonts w:ascii="宋体" w:hAnsi="宋体"/>
                <w:color w:val="000000"/>
                <w:sz w:val="24"/>
                <w:szCs w:val="24"/>
                <w:highlight w:val="none"/>
              </w:rPr>
            </w:pPr>
            <w:r>
              <w:rPr>
                <w:rFonts w:ascii="宋体" w:hAnsi="宋体"/>
                <w:color w:val="000000"/>
                <w:sz w:val="24"/>
                <w:szCs w:val="24"/>
                <w:highlight w:val="none"/>
              </w:rPr>
            </w:r>
            <w:r/>
          </w:p>
        </w:tc>
      </w:tr>
      <w:tr>
        <w:trPr>
          <w:trHeight w:val="772"/>
        </w:trPr>
        <w:tc>
          <w:tcPr>
            <w:gridSpan w:val="2"/>
            <w:tcW w:w="1133"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r>
            <w:r/>
          </w:p>
        </w:tc>
        <w:tc>
          <w:tcPr>
            <w:tcW w:w="737"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年末“短期负债”余额（万）</w:t>
            </w:r>
            <w:r>
              <w:rPr>
                <w:rFonts w:ascii="宋体" w:hAnsi="宋体"/>
                <w:color w:val="000000"/>
                <w:sz w:val="24"/>
                <w:szCs w:val="24"/>
                <w:highlight w:val="none"/>
              </w:rPr>
            </w:r>
            <w:r/>
          </w:p>
        </w:tc>
        <w:tc>
          <w:tcPr>
            <w:tcW w:w="819" w:type="dxa"/>
            <w:vAlign w:val="center"/>
            <w:textDirection w:val="lrTb"/>
            <w:noWrap/>
          </w:tcPr>
          <w:p>
            <w:pPr>
              <w:pStyle w:val="1709"/>
              <w:jc w:val="center"/>
              <w:rPr>
                <w:rFonts w:ascii="宋体" w:hAnsi="宋体"/>
                <w:color w:val="000000"/>
                <w:sz w:val="24"/>
                <w:szCs w:val="24"/>
                <w:highlight w:val="none"/>
              </w:rPr>
            </w:pPr>
            <w:r>
              <w:rPr>
                <w:rFonts w:ascii="宋体" w:hAnsi="宋体"/>
                <w:color w:val="000000"/>
                <w:sz w:val="24"/>
                <w:szCs w:val="24"/>
                <w:highlight w:val="none"/>
              </w:rPr>
            </w:r>
            <w:r/>
          </w:p>
        </w:tc>
        <w:tc>
          <w:tcPr>
            <w:tcW w:w="724"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r>
            <w:r/>
          </w:p>
        </w:tc>
        <w:tc>
          <w:tcPr>
            <w:gridSpan w:val="3"/>
            <w:tcW w:w="2105"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年末“长期负债”余额（万）</w:t>
            </w:r>
            <w:r>
              <w:rPr>
                <w:rFonts w:ascii="宋体" w:hAnsi="宋体"/>
                <w:color w:val="000000"/>
                <w:sz w:val="24"/>
                <w:szCs w:val="24"/>
                <w:highlight w:val="none"/>
              </w:rPr>
            </w:r>
            <w:r/>
          </w:p>
        </w:tc>
        <w:tc>
          <w:tcPr>
            <w:gridSpan w:val="2"/>
            <w:tcW w:w="2977" w:type="dxa"/>
            <w:vAlign w:val="center"/>
            <w:textDirection w:val="lrTb"/>
            <w:noWrap/>
          </w:tcPr>
          <w:p>
            <w:pPr>
              <w:pStyle w:val="1709"/>
              <w:jc w:val="center"/>
              <w:rPr>
                <w:rFonts w:ascii="宋体" w:hAnsi="宋体"/>
                <w:color w:val="000000"/>
                <w:sz w:val="24"/>
                <w:szCs w:val="24"/>
                <w:highlight w:val="none"/>
              </w:rPr>
            </w:pPr>
            <w:r>
              <w:rPr>
                <w:rFonts w:ascii="宋体" w:hAnsi="宋体"/>
                <w:color w:val="000000"/>
                <w:sz w:val="24"/>
                <w:szCs w:val="24"/>
                <w:highlight w:val="none"/>
              </w:rPr>
            </w:r>
            <w:r/>
          </w:p>
        </w:tc>
      </w:tr>
      <w:tr>
        <w:trPr>
          <w:trHeight w:val="768"/>
        </w:trPr>
        <w:tc>
          <w:tcPr>
            <w:gridSpan w:val="2"/>
            <w:tcW w:w="1133"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r>
            <w:r/>
          </w:p>
        </w:tc>
        <w:tc>
          <w:tcPr>
            <w:tcW w:w="737"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年末“资产总计”余额（万）</w:t>
            </w:r>
            <w:r>
              <w:rPr>
                <w:rFonts w:ascii="宋体" w:hAnsi="宋体"/>
                <w:color w:val="000000"/>
                <w:sz w:val="24"/>
                <w:szCs w:val="24"/>
                <w:highlight w:val="none"/>
              </w:rPr>
            </w:r>
            <w:r/>
          </w:p>
        </w:tc>
        <w:tc>
          <w:tcPr>
            <w:tcW w:w="819" w:type="dxa"/>
            <w:vAlign w:val="center"/>
            <w:textDirection w:val="lrTb"/>
            <w:noWrap/>
          </w:tcPr>
          <w:p>
            <w:pPr>
              <w:pStyle w:val="1709"/>
              <w:jc w:val="center"/>
              <w:rPr>
                <w:rFonts w:ascii="宋体" w:hAnsi="宋体"/>
                <w:color w:val="000000"/>
                <w:sz w:val="24"/>
                <w:szCs w:val="24"/>
                <w:highlight w:val="none"/>
              </w:rPr>
            </w:pPr>
            <w:r>
              <w:rPr>
                <w:rFonts w:ascii="宋体" w:hAnsi="宋体"/>
                <w:color w:val="000000"/>
                <w:sz w:val="24"/>
                <w:szCs w:val="24"/>
                <w:highlight w:val="none"/>
              </w:rPr>
            </w:r>
            <w:r/>
          </w:p>
        </w:tc>
        <w:tc>
          <w:tcPr>
            <w:tcW w:w="724"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r>
            <w:r/>
          </w:p>
        </w:tc>
        <w:tc>
          <w:tcPr>
            <w:gridSpan w:val="3"/>
            <w:tcW w:w="2105"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年末“货币资金”余额（万）</w:t>
            </w:r>
            <w:r>
              <w:rPr>
                <w:rFonts w:ascii="宋体" w:hAnsi="宋体"/>
                <w:color w:val="000000"/>
                <w:sz w:val="24"/>
                <w:szCs w:val="24"/>
                <w:highlight w:val="none"/>
              </w:rPr>
            </w:r>
            <w:r/>
          </w:p>
        </w:tc>
        <w:tc>
          <w:tcPr>
            <w:gridSpan w:val="2"/>
            <w:tcW w:w="2977" w:type="dxa"/>
            <w:vAlign w:val="center"/>
            <w:textDirection w:val="lrTb"/>
            <w:noWrap/>
          </w:tcPr>
          <w:p>
            <w:pPr>
              <w:pStyle w:val="1709"/>
              <w:jc w:val="center"/>
              <w:rPr>
                <w:rFonts w:ascii="宋体" w:hAnsi="宋体"/>
                <w:color w:val="000000"/>
                <w:sz w:val="24"/>
                <w:szCs w:val="24"/>
                <w:highlight w:val="none"/>
              </w:rPr>
            </w:pPr>
            <w:r>
              <w:rPr>
                <w:rFonts w:ascii="宋体" w:hAnsi="宋体"/>
                <w:color w:val="000000"/>
                <w:sz w:val="24"/>
                <w:szCs w:val="24"/>
                <w:highlight w:val="none"/>
              </w:rPr>
            </w:r>
            <w:r/>
          </w:p>
        </w:tc>
      </w:tr>
      <w:tr>
        <w:trPr>
          <w:trHeight w:val="547"/>
        </w:trPr>
        <w:tc>
          <w:tcPr>
            <w:gridSpan w:val="2"/>
            <w:shd w:val="clear" w:color="auto" w:fill="d9d9d9"/>
            <w:tcW w:w="1133" w:type="dxa"/>
            <w:vAlign w:val="center"/>
            <w:textDirection w:val="lrTb"/>
            <w:noWrap/>
          </w:tcPr>
          <w:p>
            <w:pPr>
              <w:pStyle w:val="1709"/>
              <w:jc w:val="center"/>
              <w:rPr>
                <w:rFonts w:ascii="宋体" w:hAnsi="宋体"/>
                <w:b/>
                <w:color w:val="000000"/>
                <w:sz w:val="24"/>
                <w:szCs w:val="24"/>
                <w:highlight w:val="none"/>
              </w:rPr>
            </w:pPr>
            <w:r>
              <w:rPr>
                <w:rFonts w:hint="eastAsia" w:ascii="宋体" w:hAnsi="宋体"/>
                <w:b/>
                <w:color w:val="000000"/>
                <w:sz w:val="24"/>
                <w:szCs w:val="24"/>
                <w:highlight w:val="none"/>
              </w:rPr>
              <w:t xml:space="preserve">三</w:t>
            </w:r>
            <w:r>
              <w:rPr>
                <w:rFonts w:ascii="宋体" w:hAnsi="宋体"/>
                <w:b/>
                <w:color w:val="000000"/>
                <w:sz w:val="24"/>
                <w:szCs w:val="24"/>
                <w:highlight w:val="none"/>
              </w:rPr>
            </w:r>
            <w:r/>
          </w:p>
        </w:tc>
        <w:tc>
          <w:tcPr>
            <w:gridSpan w:val="8"/>
            <w:shd w:val="clear" w:color="auto" w:fill="d9d9d9"/>
            <w:tcW w:w="8437" w:type="dxa"/>
            <w:vAlign w:val="center"/>
            <w:textDirection w:val="lrTb"/>
            <w:noWrap/>
          </w:tcPr>
          <w:p>
            <w:pPr>
              <w:pStyle w:val="1709"/>
              <w:jc w:val="center"/>
              <w:rPr>
                <w:rFonts w:ascii="宋体" w:hAnsi="宋体"/>
                <w:b/>
                <w:color w:val="000000"/>
                <w:sz w:val="24"/>
                <w:szCs w:val="24"/>
                <w:highlight w:val="none"/>
              </w:rPr>
            </w:pPr>
            <w:r>
              <w:rPr>
                <w:rFonts w:hint="eastAsia" w:ascii="宋体" w:hAnsi="宋体"/>
                <w:b/>
                <w:color w:val="000000"/>
                <w:sz w:val="24"/>
                <w:szCs w:val="24"/>
                <w:highlight w:val="none"/>
              </w:rPr>
              <w:t xml:space="preserve">投标人其他信息</w:t>
            </w:r>
            <w:r>
              <w:rPr>
                <w:rFonts w:ascii="宋体" w:hAnsi="宋体"/>
                <w:b/>
                <w:color w:val="000000"/>
                <w:sz w:val="24"/>
                <w:szCs w:val="24"/>
                <w:highlight w:val="none"/>
              </w:rPr>
            </w:r>
            <w:r/>
          </w:p>
        </w:tc>
      </w:tr>
      <w:tr>
        <w:trPr>
          <w:trHeight w:val="1015"/>
        </w:trPr>
        <w:tc>
          <w:tcPr>
            <w:gridSpan w:val="2"/>
            <w:tcW w:w="1133"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r>
            <w:r/>
          </w:p>
        </w:tc>
        <w:tc>
          <w:tcPr>
            <w:tcW w:w="737"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公司取得的相关资质及等级：</w:t>
            </w:r>
            <w:r>
              <w:rPr>
                <w:rFonts w:ascii="宋体" w:hAnsi="宋体"/>
                <w:color w:val="000000"/>
                <w:sz w:val="24"/>
                <w:szCs w:val="24"/>
                <w:highlight w:val="none"/>
              </w:rPr>
            </w:r>
            <w:r/>
          </w:p>
        </w:tc>
        <w:tc>
          <w:tcPr>
            <w:gridSpan w:val="7"/>
            <w:tcW w:w="7183" w:type="dxa"/>
            <w:vAlign w:val="center"/>
            <w:textDirection w:val="lrTb"/>
            <w:noWrap/>
          </w:tcPr>
          <w:p>
            <w:pPr>
              <w:pStyle w:val="1709"/>
              <w:jc w:val="center"/>
              <w:rPr>
                <w:rFonts w:ascii="宋体" w:hAnsi="宋体"/>
                <w:color w:val="000000"/>
                <w:sz w:val="24"/>
                <w:szCs w:val="24"/>
                <w:highlight w:val="none"/>
              </w:rPr>
            </w:pPr>
            <w:r>
              <w:rPr>
                <w:rFonts w:ascii="宋体" w:hAnsi="宋体"/>
                <w:color w:val="000000"/>
                <w:sz w:val="24"/>
                <w:szCs w:val="24"/>
                <w:highlight w:val="none"/>
              </w:rPr>
            </w:r>
            <w:r/>
          </w:p>
        </w:tc>
      </w:tr>
      <w:tr>
        <w:trPr>
          <w:trHeight w:val="1086"/>
        </w:trPr>
        <w:tc>
          <w:tcPr>
            <w:gridSpan w:val="2"/>
            <w:tcW w:w="1133"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（二）</w:t>
            </w:r>
            <w:r>
              <w:rPr>
                <w:rFonts w:ascii="宋体" w:hAnsi="宋体"/>
                <w:color w:val="000000"/>
                <w:sz w:val="24"/>
                <w:szCs w:val="24"/>
                <w:highlight w:val="none"/>
              </w:rPr>
            </w:r>
            <w:r/>
          </w:p>
        </w:tc>
        <w:tc>
          <w:tcPr>
            <w:tcW w:w="737" w:type="dxa"/>
            <w:vAlign w:val="center"/>
            <w:textDirection w:val="lrTb"/>
            <w:noWrap/>
          </w:tcPr>
          <w:p>
            <w:pPr>
              <w:pStyle w:val="1709"/>
              <w:jc w:val="center"/>
              <w:rPr>
                <w:rFonts w:ascii="宋体" w:hAnsi="宋体"/>
                <w:color w:val="000000"/>
                <w:sz w:val="24"/>
                <w:szCs w:val="24"/>
                <w:highlight w:val="none"/>
              </w:rPr>
            </w:pPr>
            <w:r>
              <w:rPr>
                <w:rFonts w:hint="eastAsia" w:ascii="宋体" w:hAnsi="宋体"/>
                <w:color w:val="000000"/>
                <w:sz w:val="24"/>
                <w:szCs w:val="24"/>
                <w:highlight w:val="none"/>
              </w:rPr>
              <w:t xml:space="preserve">公司2021年度后获得的荣誉及表彰情况</w:t>
            </w:r>
            <w:r>
              <w:rPr>
                <w:rFonts w:ascii="宋体" w:hAnsi="宋体"/>
                <w:color w:val="000000"/>
                <w:sz w:val="24"/>
                <w:szCs w:val="24"/>
                <w:highlight w:val="none"/>
              </w:rPr>
            </w:r>
            <w:r/>
          </w:p>
        </w:tc>
        <w:tc>
          <w:tcPr>
            <w:gridSpan w:val="7"/>
            <w:tcW w:w="7183" w:type="dxa"/>
            <w:vAlign w:val="center"/>
            <w:textDirection w:val="lrTb"/>
            <w:noWrap/>
          </w:tcPr>
          <w:p>
            <w:pPr>
              <w:pStyle w:val="1709"/>
              <w:jc w:val="center"/>
              <w:rPr>
                <w:rFonts w:ascii="宋体" w:hAnsi="宋体"/>
                <w:color w:val="000000"/>
                <w:sz w:val="24"/>
                <w:szCs w:val="24"/>
                <w:highlight w:val="none"/>
              </w:rPr>
            </w:pPr>
            <w:r>
              <w:rPr>
                <w:rFonts w:ascii="宋体" w:hAnsi="宋体"/>
                <w:color w:val="000000"/>
                <w:sz w:val="24"/>
                <w:szCs w:val="24"/>
                <w:highlight w:val="none"/>
              </w:rPr>
            </w:r>
            <w:r/>
          </w:p>
        </w:tc>
      </w:tr>
      <w:tr>
        <w:trPr>
          <w:trHeight w:val="557"/>
        </w:trPr>
        <w:tc>
          <w:tcPr>
            <w:gridSpan w:val="2"/>
            <w:shd w:val="clear" w:color="auto" w:fill="bfbfbf"/>
            <w:tcW w:w="1133" w:type="dxa"/>
            <w:vAlign w:val="center"/>
            <w:textDirection w:val="lrTb"/>
            <w:noWrap/>
          </w:tcPr>
          <w:p>
            <w:pPr>
              <w:pStyle w:val="1709"/>
              <w:jc w:val="center"/>
              <w:rPr>
                <w:rFonts w:ascii="宋体" w:hAnsi="宋体"/>
                <w:b/>
                <w:color w:val="000000"/>
                <w:sz w:val="24"/>
                <w:szCs w:val="24"/>
                <w:highlight w:val="none"/>
              </w:rPr>
            </w:pPr>
            <w:r>
              <w:rPr>
                <w:rFonts w:hint="eastAsia" w:ascii="宋体" w:hAnsi="宋体"/>
                <w:b/>
                <w:color w:val="000000"/>
                <w:sz w:val="24"/>
                <w:szCs w:val="24"/>
                <w:highlight w:val="none"/>
              </w:rPr>
              <w:t xml:space="preserve">四</w:t>
            </w:r>
            <w:r>
              <w:rPr>
                <w:rFonts w:ascii="宋体" w:hAnsi="宋体"/>
                <w:b/>
                <w:color w:val="000000"/>
                <w:sz w:val="24"/>
                <w:szCs w:val="24"/>
                <w:highlight w:val="none"/>
              </w:rPr>
            </w:r>
            <w:r/>
          </w:p>
        </w:tc>
        <w:tc>
          <w:tcPr>
            <w:gridSpan w:val="8"/>
            <w:shd w:val="clear" w:color="auto" w:fill="bfbfbf"/>
            <w:tcW w:w="8437" w:type="dxa"/>
            <w:vAlign w:val="center"/>
            <w:textDirection w:val="lrTb"/>
            <w:noWrap/>
          </w:tcPr>
          <w:p>
            <w:pPr>
              <w:pStyle w:val="1709"/>
              <w:jc w:val="center"/>
              <w:rPr>
                <w:rFonts w:ascii="宋体" w:hAnsi="宋体"/>
                <w:b/>
                <w:color w:val="000000"/>
                <w:sz w:val="24"/>
                <w:szCs w:val="24"/>
                <w:highlight w:val="none"/>
              </w:rPr>
            </w:pPr>
            <w:r>
              <w:rPr>
                <w:rFonts w:hint="eastAsia" w:ascii="宋体" w:hAnsi="宋体"/>
                <w:b/>
                <w:color w:val="000000"/>
                <w:sz w:val="24"/>
                <w:szCs w:val="24"/>
                <w:highlight w:val="none"/>
              </w:rPr>
              <w:t xml:space="preserve">提供本项目服务所必须的专业设备一览表（必填）</w:t>
            </w:r>
            <w:r>
              <w:rPr>
                <w:rFonts w:ascii="宋体" w:hAnsi="宋体"/>
                <w:b/>
                <w:color w:val="000000"/>
                <w:sz w:val="24"/>
                <w:szCs w:val="24"/>
                <w:highlight w:val="none"/>
              </w:rPr>
            </w:r>
            <w:r/>
          </w:p>
        </w:tc>
      </w:tr>
      <w:tr>
        <w:trPr>
          <w:trHeight w:val="459"/>
        </w:trPr>
        <w:tc>
          <w:tcPr>
            <w:shd w:val="clear" w:color="auto" w:fill="ffffff"/>
            <w:tcW w:w="440" w:type="dxa"/>
            <w:vAlign w:val="center"/>
            <w:textDirection w:val="lrTb"/>
            <w:noWrap/>
          </w:tcPr>
          <w:p>
            <w:pPr>
              <w:pStyle w:val="1709"/>
              <w:jc w:val="center"/>
              <w:rPr>
                <w:rFonts w:ascii="宋体" w:hAnsi="宋体"/>
                <w:b/>
                <w:color w:val="000000"/>
                <w:sz w:val="24"/>
                <w:szCs w:val="24"/>
                <w:highlight w:val="none"/>
              </w:rPr>
            </w:pPr>
            <w:r>
              <w:rPr>
                <w:rFonts w:hint="eastAsia" w:ascii="宋体" w:hAnsi="宋体"/>
                <w:b/>
                <w:color w:val="000000"/>
                <w:sz w:val="24"/>
                <w:szCs w:val="24"/>
                <w:highlight w:val="none"/>
              </w:rPr>
              <w:t xml:space="preserve">序号</w:t>
            </w:r>
            <w:r>
              <w:rPr>
                <w:rFonts w:ascii="宋体" w:hAnsi="宋体"/>
                <w:b/>
                <w:color w:val="000000"/>
                <w:sz w:val="24"/>
                <w:szCs w:val="24"/>
                <w:highlight w:val="none"/>
              </w:rPr>
            </w:r>
            <w:r/>
          </w:p>
        </w:tc>
        <w:tc>
          <w:tcPr>
            <w:gridSpan w:val="4"/>
            <w:shd w:val="clear" w:color="auto" w:fill="ffffff"/>
            <w:tcW w:w="4002" w:type="dxa"/>
            <w:vAlign w:val="center"/>
            <w:textDirection w:val="lrTb"/>
            <w:noWrap/>
          </w:tcPr>
          <w:p>
            <w:pPr>
              <w:pStyle w:val="1709"/>
              <w:jc w:val="center"/>
              <w:rPr>
                <w:rFonts w:ascii="宋体" w:hAnsi="宋体"/>
                <w:b/>
                <w:color w:val="000000"/>
                <w:sz w:val="24"/>
                <w:szCs w:val="24"/>
                <w:highlight w:val="none"/>
              </w:rPr>
            </w:pPr>
            <w:r>
              <w:rPr>
                <w:rFonts w:hint="eastAsia" w:ascii="宋体" w:hAnsi="宋体"/>
                <w:b/>
                <w:color w:val="000000"/>
                <w:sz w:val="24"/>
                <w:szCs w:val="24"/>
                <w:highlight w:val="none"/>
              </w:rPr>
              <w:t xml:space="preserve">品牌、型号及主要参数配置简述</w:t>
            </w:r>
            <w:r>
              <w:rPr>
                <w:rFonts w:ascii="宋体" w:hAnsi="宋体"/>
                <w:b/>
                <w:color w:val="000000"/>
                <w:sz w:val="24"/>
                <w:szCs w:val="24"/>
                <w:highlight w:val="none"/>
              </w:rPr>
            </w:r>
            <w:r/>
          </w:p>
        </w:tc>
        <w:tc>
          <w:tcPr>
            <w:shd w:val="clear" w:color="auto" w:fill="ffffff"/>
            <w:tcW w:w="1236" w:type="dxa"/>
            <w:vAlign w:val="center"/>
            <w:textDirection w:val="lrTb"/>
            <w:noWrap/>
          </w:tcPr>
          <w:p>
            <w:pPr>
              <w:pStyle w:val="1709"/>
              <w:jc w:val="center"/>
              <w:rPr>
                <w:rFonts w:ascii="宋体" w:hAnsi="宋体"/>
                <w:b/>
                <w:color w:val="000000"/>
                <w:sz w:val="24"/>
                <w:szCs w:val="24"/>
                <w:highlight w:val="none"/>
              </w:rPr>
            </w:pPr>
            <w:r>
              <w:rPr>
                <w:rFonts w:hint="eastAsia" w:ascii="宋体" w:hAnsi="宋体"/>
                <w:b/>
                <w:color w:val="000000"/>
                <w:sz w:val="24"/>
                <w:szCs w:val="24"/>
                <w:highlight w:val="none"/>
              </w:rPr>
              <w:t xml:space="preserve">购置年份</w:t>
            </w:r>
            <w:r>
              <w:rPr>
                <w:rFonts w:ascii="宋体" w:hAnsi="宋体"/>
                <w:b/>
                <w:color w:val="000000"/>
                <w:sz w:val="24"/>
                <w:szCs w:val="24"/>
                <w:highlight w:val="none"/>
              </w:rPr>
            </w:r>
            <w:r/>
          </w:p>
        </w:tc>
        <w:tc>
          <w:tcPr>
            <w:shd w:val="clear" w:color="auto" w:fill="ffffff"/>
            <w:tcW w:w="486" w:type="dxa"/>
            <w:vAlign w:val="center"/>
            <w:textDirection w:val="lrTb"/>
            <w:noWrap/>
          </w:tcPr>
          <w:p>
            <w:pPr>
              <w:pStyle w:val="1709"/>
              <w:jc w:val="center"/>
              <w:rPr>
                <w:rFonts w:ascii="宋体" w:hAnsi="宋体"/>
                <w:b/>
                <w:color w:val="000000"/>
                <w:sz w:val="24"/>
                <w:szCs w:val="24"/>
                <w:highlight w:val="none"/>
              </w:rPr>
            </w:pPr>
            <w:r>
              <w:rPr>
                <w:rFonts w:hint="eastAsia" w:ascii="宋体" w:hAnsi="宋体"/>
                <w:b/>
                <w:color w:val="000000"/>
                <w:sz w:val="24"/>
                <w:szCs w:val="24"/>
                <w:highlight w:val="none"/>
              </w:rPr>
              <w:t xml:space="preserve">价格</w:t>
            </w:r>
            <w:r>
              <w:rPr>
                <w:rFonts w:ascii="宋体" w:hAnsi="宋体"/>
                <w:b/>
                <w:color w:val="000000"/>
                <w:sz w:val="24"/>
                <w:szCs w:val="24"/>
                <w:highlight w:val="none"/>
              </w:rPr>
            </w:r>
            <w:r/>
          </w:p>
        </w:tc>
        <w:tc>
          <w:tcPr>
            <w:gridSpan w:val="2"/>
            <w:shd w:val="clear" w:color="auto" w:fill="ffffff"/>
            <w:tcW w:w="1200" w:type="dxa"/>
            <w:vAlign w:val="center"/>
            <w:textDirection w:val="lrTb"/>
            <w:noWrap/>
          </w:tcPr>
          <w:p>
            <w:pPr>
              <w:pStyle w:val="1709"/>
              <w:jc w:val="center"/>
              <w:rPr>
                <w:rFonts w:ascii="宋体" w:hAnsi="宋体"/>
                <w:b/>
                <w:color w:val="000000"/>
                <w:sz w:val="24"/>
                <w:szCs w:val="24"/>
                <w:highlight w:val="none"/>
              </w:rPr>
            </w:pPr>
            <w:r>
              <w:rPr>
                <w:rFonts w:hint="eastAsia" w:ascii="宋体" w:hAnsi="宋体"/>
                <w:b/>
                <w:color w:val="000000"/>
                <w:sz w:val="24"/>
                <w:szCs w:val="24"/>
                <w:highlight w:val="none"/>
              </w:rPr>
              <w:t xml:space="preserve">数量</w:t>
            </w:r>
            <w:r>
              <w:rPr>
                <w:rFonts w:ascii="宋体" w:hAnsi="宋体"/>
                <w:b/>
                <w:color w:val="000000"/>
                <w:sz w:val="24"/>
                <w:szCs w:val="24"/>
                <w:highlight w:val="none"/>
              </w:rPr>
            </w:r>
            <w:r/>
          </w:p>
        </w:tc>
        <w:tc>
          <w:tcPr>
            <w:shd w:val="clear" w:color="auto" w:fill="ffffff"/>
            <w:tcW w:w="743" w:type="dxa"/>
            <w:vAlign w:val="center"/>
            <w:textDirection w:val="lrTb"/>
            <w:noWrap/>
          </w:tcPr>
          <w:p>
            <w:pPr>
              <w:pStyle w:val="1709"/>
              <w:jc w:val="center"/>
              <w:rPr>
                <w:rFonts w:ascii="宋体" w:hAnsi="宋体"/>
                <w:b/>
                <w:color w:val="000000"/>
                <w:sz w:val="24"/>
                <w:szCs w:val="24"/>
                <w:highlight w:val="none"/>
              </w:rPr>
            </w:pPr>
            <w:r>
              <w:rPr>
                <w:rFonts w:hint="eastAsia" w:ascii="宋体" w:hAnsi="宋体"/>
                <w:b/>
                <w:color w:val="000000"/>
                <w:sz w:val="24"/>
                <w:szCs w:val="24"/>
                <w:highlight w:val="none"/>
              </w:rPr>
              <w:t xml:space="preserve">用途</w:t>
            </w:r>
            <w:r>
              <w:rPr>
                <w:rFonts w:ascii="宋体" w:hAnsi="宋体"/>
                <w:b/>
                <w:color w:val="000000"/>
                <w:sz w:val="24"/>
                <w:szCs w:val="24"/>
                <w:highlight w:val="none"/>
              </w:rPr>
            </w:r>
            <w:r/>
          </w:p>
        </w:tc>
      </w:tr>
      <w:tr>
        <w:trPr>
          <w:trHeight w:val="483"/>
        </w:trPr>
        <w:tc>
          <w:tcPr>
            <w:shd w:val="clear" w:color="auto" w:fill="ffffff"/>
            <w:tcW w:w="440" w:type="dxa"/>
            <w:vAlign w:val="center"/>
            <w:textDirection w:val="lrTb"/>
            <w:noWrap/>
          </w:tcPr>
          <w:p>
            <w:pPr>
              <w:pStyle w:val="1709"/>
              <w:jc w:val="center"/>
              <w:rPr>
                <w:rFonts w:ascii="宋体" w:hAnsi="宋体"/>
                <w:b/>
                <w:color w:val="000000"/>
                <w:sz w:val="24"/>
                <w:szCs w:val="24"/>
                <w:highlight w:val="none"/>
              </w:rPr>
            </w:pPr>
            <w:r>
              <w:rPr>
                <w:rFonts w:hint="eastAsia" w:ascii="宋体" w:hAnsi="宋体"/>
                <w:b/>
                <w:color w:val="000000"/>
                <w:sz w:val="24"/>
                <w:szCs w:val="24"/>
                <w:highlight w:val="none"/>
              </w:rPr>
              <w:t xml:space="preserve">1</w:t>
            </w:r>
            <w:r>
              <w:rPr>
                <w:rFonts w:ascii="宋体" w:hAnsi="宋体"/>
                <w:b/>
                <w:color w:val="000000"/>
                <w:sz w:val="24"/>
                <w:szCs w:val="24"/>
                <w:highlight w:val="none"/>
              </w:rPr>
            </w:r>
            <w:r/>
          </w:p>
        </w:tc>
        <w:tc>
          <w:tcPr>
            <w:gridSpan w:val="4"/>
            <w:shd w:val="clear" w:color="auto" w:fill="ffffff"/>
            <w:tcW w:w="4002" w:type="dxa"/>
            <w:vAlign w:val="center"/>
            <w:textDirection w:val="lrTb"/>
            <w:noWrap/>
          </w:tcPr>
          <w:p>
            <w:pPr>
              <w:pStyle w:val="1709"/>
              <w:jc w:val="center"/>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1236" w:type="dxa"/>
            <w:vAlign w:val="center"/>
            <w:textDirection w:val="lrTb"/>
            <w:noWrap/>
          </w:tcPr>
          <w:p>
            <w:pPr>
              <w:pStyle w:val="1709"/>
              <w:jc w:val="center"/>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486" w:type="dxa"/>
            <w:vAlign w:val="center"/>
            <w:textDirection w:val="lrTb"/>
            <w:noWrap/>
          </w:tcPr>
          <w:p>
            <w:pPr>
              <w:pStyle w:val="1709"/>
              <w:jc w:val="center"/>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00" w:type="dxa"/>
            <w:vAlign w:val="center"/>
            <w:textDirection w:val="lrTb"/>
            <w:noWrap/>
          </w:tcPr>
          <w:p>
            <w:pPr>
              <w:pStyle w:val="1709"/>
              <w:jc w:val="center"/>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43" w:type="dxa"/>
            <w:vAlign w:val="center"/>
            <w:textDirection w:val="lrTb"/>
            <w:noWrap/>
          </w:tcPr>
          <w:p>
            <w:pPr>
              <w:pStyle w:val="1709"/>
              <w:jc w:val="center"/>
              <w:rPr>
                <w:rFonts w:ascii="宋体" w:hAnsi="宋体"/>
                <w:b/>
                <w:color w:val="000000"/>
                <w:sz w:val="24"/>
                <w:szCs w:val="24"/>
                <w:highlight w:val="none"/>
              </w:rPr>
            </w:pPr>
            <w:r>
              <w:rPr>
                <w:rFonts w:ascii="宋体" w:hAnsi="宋体"/>
                <w:b/>
                <w:color w:val="000000"/>
                <w:sz w:val="24"/>
                <w:szCs w:val="24"/>
                <w:highlight w:val="none"/>
              </w:rPr>
            </w:r>
            <w:r/>
          </w:p>
        </w:tc>
      </w:tr>
      <w:tr>
        <w:trPr>
          <w:trHeight w:val="546"/>
        </w:trPr>
        <w:tc>
          <w:tcPr>
            <w:shd w:val="clear" w:color="auto" w:fill="ffffff"/>
            <w:tcW w:w="440" w:type="dxa"/>
            <w:vAlign w:val="center"/>
            <w:textDirection w:val="lrTb"/>
            <w:noWrap/>
          </w:tcPr>
          <w:p>
            <w:pPr>
              <w:pStyle w:val="1709"/>
              <w:jc w:val="center"/>
              <w:rPr>
                <w:rFonts w:ascii="宋体" w:hAnsi="宋体"/>
                <w:b/>
                <w:color w:val="000000"/>
                <w:sz w:val="24"/>
                <w:szCs w:val="24"/>
                <w:highlight w:val="none"/>
              </w:rPr>
            </w:pPr>
            <w:r>
              <w:rPr>
                <w:rFonts w:hint="eastAsia" w:ascii="宋体" w:hAnsi="宋体"/>
                <w:b/>
                <w:color w:val="000000"/>
                <w:sz w:val="24"/>
                <w:szCs w:val="24"/>
                <w:highlight w:val="none"/>
              </w:rPr>
              <w:t xml:space="preserve">2</w:t>
            </w:r>
            <w:r>
              <w:rPr>
                <w:rFonts w:ascii="宋体" w:hAnsi="宋体"/>
                <w:b/>
                <w:color w:val="000000"/>
                <w:sz w:val="24"/>
                <w:szCs w:val="24"/>
                <w:highlight w:val="none"/>
              </w:rPr>
            </w:r>
            <w:r/>
          </w:p>
        </w:tc>
        <w:tc>
          <w:tcPr>
            <w:gridSpan w:val="4"/>
            <w:shd w:val="clear" w:color="auto" w:fill="ffffff"/>
            <w:tcW w:w="4002" w:type="dxa"/>
            <w:vAlign w:val="center"/>
            <w:textDirection w:val="lrTb"/>
            <w:noWrap/>
          </w:tcPr>
          <w:p>
            <w:pPr>
              <w:pStyle w:val="1709"/>
              <w:jc w:val="center"/>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1236" w:type="dxa"/>
            <w:vAlign w:val="center"/>
            <w:textDirection w:val="lrTb"/>
            <w:noWrap/>
          </w:tcPr>
          <w:p>
            <w:pPr>
              <w:pStyle w:val="1709"/>
              <w:jc w:val="center"/>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486" w:type="dxa"/>
            <w:vAlign w:val="center"/>
            <w:textDirection w:val="lrTb"/>
            <w:noWrap/>
          </w:tcPr>
          <w:p>
            <w:pPr>
              <w:pStyle w:val="1709"/>
              <w:jc w:val="center"/>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00" w:type="dxa"/>
            <w:vAlign w:val="center"/>
            <w:textDirection w:val="lrTb"/>
            <w:noWrap/>
          </w:tcPr>
          <w:p>
            <w:pPr>
              <w:pStyle w:val="1709"/>
              <w:jc w:val="center"/>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43" w:type="dxa"/>
            <w:vAlign w:val="center"/>
            <w:textDirection w:val="lrTb"/>
            <w:noWrap/>
          </w:tcPr>
          <w:p>
            <w:pPr>
              <w:pStyle w:val="1709"/>
              <w:jc w:val="center"/>
              <w:rPr>
                <w:rFonts w:ascii="宋体" w:hAnsi="宋体"/>
                <w:b/>
                <w:color w:val="000000"/>
                <w:sz w:val="24"/>
                <w:szCs w:val="24"/>
                <w:highlight w:val="none"/>
              </w:rPr>
            </w:pPr>
            <w:r>
              <w:rPr>
                <w:rFonts w:ascii="宋体" w:hAnsi="宋体"/>
                <w:b/>
                <w:color w:val="000000"/>
                <w:sz w:val="24"/>
                <w:szCs w:val="24"/>
                <w:highlight w:val="none"/>
              </w:rPr>
            </w:r>
            <w:r/>
          </w:p>
        </w:tc>
      </w:tr>
      <w:tr>
        <w:trPr>
          <w:trHeight w:val="560"/>
        </w:trPr>
        <w:tc>
          <w:tcPr>
            <w:shd w:val="clear" w:color="auto" w:fill="ffffff"/>
            <w:tcW w:w="440" w:type="dxa"/>
            <w:vAlign w:val="center"/>
            <w:textDirection w:val="lrTb"/>
            <w:noWrap/>
          </w:tcPr>
          <w:p>
            <w:pPr>
              <w:pStyle w:val="1709"/>
              <w:jc w:val="center"/>
              <w:rPr>
                <w:rFonts w:ascii="宋体" w:hAnsi="宋体"/>
                <w:b/>
                <w:color w:val="000000"/>
                <w:sz w:val="24"/>
                <w:szCs w:val="24"/>
                <w:highlight w:val="none"/>
              </w:rPr>
            </w:pPr>
            <w:r>
              <w:rPr>
                <w:rFonts w:hint="eastAsia" w:ascii="宋体" w:hAnsi="宋体"/>
                <w:b/>
                <w:color w:val="000000"/>
                <w:sz w:val="24"/>
                <w:szCs w:val="24"/>
                <w:highlight w:val="none"/>
              </w:rPr>
              <w:t xml:space="preserve">3</w:t>
            </w:r>
            <w:r>
              <w:rPr>
                <w:rFonts w:ascii="宋体" w:hAnsi="宋体"/>
                <w:b/>
                <w:color w:val="000000"/>
                <w:sz w:val="24"/>
                <w:szCs w:val="24"/>
                <w:highlight w:val="none"/>
              </w:rPr>
            </w:r>
            <w:r/>
          </w:p>
        </w:tc>
        <w:tc>
          <w:tcPr>
            <w:gridSpan w:val="4"/>
            <w:shd w:val="clear" w:color="auto" w:fill="ffffff"/>
            <w:tcW w:w="4002" w:type="dxa"/>
            <w:vAlign w:val="center"/>
            <w:textDirection w:val="lrTb"/>
            <w:noWrap/>
          </w:tcPr>
          <w:p>
            <w:pPr>
              <w:pStyle w:val="1709"/>
              <w:jc w:val="center"/>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1236" w:type="dxa"/>
            <w:vAlign w:val="center"/>
            <w:textDirection w:val="lrTb"/>
            <w:noWrap/>
          </w:tcPr>
          <w:p>
            <w:pPr>
              <w:pStyle w:val="1709"/>
              <w:jc w:val="center"/>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486" w:type="dxa"/>
            <w:vAlign w:val="center"/>
            <w:textDirection w:val="lrTb"/>
            <w:noWrap/>
          </w:tcPr>
          <w:p>
            <w:pPr>
              <w:pStyle w:val="1709"/>
              <w:jc w:val="center"/>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00" w:type="dxa"/>
            <w:vAlign w:val="center"/>
            <w:textDirection w:val="lrTb"/>
            <w:noWrap/>
          </w:tcPr>
          <w:p>
            <w:pPr>
              <w:pStyle w:val="1709"/>
              <w:jc w:val="center"/>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43" w:type="dxa"/>
            <w:vAlign w:val="center"/>
            <w:textDirection w:val="lrTb"/>
            <w:noWrap/>
          </w:tcPr>
          <w:p>
            <w:pPr>
              <w:pStyle w:val="1709"/>
              <w:jc w:val="center"/>
              <w:rPr>
                <w:rFonts w:ascii="宋体" w:hAnsi="宋体"/>
                <w:b/>
                <w:color w:val="000000"/>
                <w:sz w:val="24"/>
                <w:szCs w:val="24"/>
                <w:highlight w:val="none"/>
              </w:rPr>
            </w:pPr>
            <w:r>
              <w:rPr>
                <w:rFonts w:ascii="宋体" w:hAnsi="宋体"/>
                <w:b/>
                <w:color w:val="000000"/>
                <w:sz w:val="24"/>
                <w:szCs w:val="24"/>
                <w:highlight w:val="none"/>
              </w:rPr>
            </w:r>
            <w:r/>
          </w:p>
        </w:tc>
      </w:tr>
      <w:tr>
        <w:trPr>
          <w:trHeight w:val="553"/>
        </w:trPr>
        <w:tc>
          <w:tcPr>
            <w:shd w:val="clear" w:color="auto" w:fill="ffffff"/>
            <w:tcW w:w="440" w:type="dxa"/>
            <w:vAlign w:val="center"/>
            <w:textDirection w:val="lrTb"/>
            <w:noWrap/>
          </w:tcPr>
          <w:p>
            <w:pPr>
              <w:pStyle w:val="1709"/>
              <w:jc w:val="center"/>
              <w:rPr>
                <w:rFonts w:ascii="宋体" w:hAnsi="宋体"/>
                <w:b/>
                <w:color w:val="000000"/>
                <w:sz w:val="24"/>
                <w:szCs w:val="24"/>
                <w:highlight w:val="none"/>
              </w:rPr>
            </w:pPr>
            <w:r>
              <w:rPr>
                <w:rFonts w:ascii="宋体" w:hAnsi="宋体"/>
                <w:b/>
                <w:color w:val="000000"/>
                <w:sz w:val="24"/>
                <w:szCs w:val="24"/>
                <w:highlight w:val="none"/>
              </w:rPr>
              <w:t xml:space="preserve">…</w:t>
            </w:r>
            <w:r>
              <w:rPr>
                <w:rFonts w:ascii="宋体" w:hAnsi="宋体"/>
                <w:b/>
                <w:color w:val="000000"/>
                <w:sz w:val="24"/>
                <w:szCs w:val="24"/>
                <w:highlight w:val="none"/>
              </w:rPr>
            </w:r>
            <w:r/>
          </w:p>
        </w:tc>
        <w:tc>
          <w:tcPr>
            <w:gridSpan w:val="4"/>
            <w:shd w:val="clear" w:color="auto" w:fill="ffffff"/>
            <w:tcW w:w="4002" w:type="dxa"/>
            <w:vAlign w:val="center"/>
            <w:textDirection w:val="lrTb"/>
            <w:noWrap/>
          </w:tcPr>
          <w:p>
            <w:pPr>
              <w:pStyle w:val="1709"/>
              <w:jc w:val="center"/>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1236" w:type="dxa"/>
            <w:vAlign w:val="center"/>
            <w:textDirection w:val="lrTb"/>
            <w:noWrap/>
          </w:tcPr>
          <w:p>
            <w:pPr>
              <w:pStyle w:val="1709"/>
              <w:jc w:val="center"/>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486" w:type="dxa"/>
            <w:vAlign w:val="center"/>
            <w:textDirection w:val="lrTb"/>
            <w:noWrap/>
          </w:tcPr>
          <w:p>
            <w:pPr>
              <w:pStyle w:val="1709"/>
              <w:jc w:val="center"/>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00" w:type="dxa"/>
            <w:vAlign w:val="center"/>
            <w:textDirection w:val="lrTb"/>
            <w:noWrap/>
          </w:tcPr>
          <w:p>
            <w:pPr>
              <w:pStyle w:val="1709"/>
              <w:jc w:val="center"/>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43" w:type="dxa"/>
            <w:vAlign w:val="center"/>
            <w:textDirection w:val="lrTb"/>
            <w:noWrap/>
          </w:tcPr>
          <w:p>
            <w:pPr>
              <w:pStyle w:val="1709"/>
              <w:jc w:val="center"/>
              <w:rPr>
                <w:rFonts w:ascii="宋体" w:hAnsi="宋体"/>
                <w:b/>
                <w:color w:val="000000"/>
                <w:sz w:val="24"/>
                <w:szCs w:val="24"/>
                <w:highlight w:val="none"/>
              </w:rPr>
            </w:pPr>
            <w:r>
              <w:rPr>
                <w:rFonts w:ascii="宋体" w:hAnsi="宋体"/>
                <w:b/>
                <w:color w:val="000000"/>
                <w:sz w:val="24"/>
                <w:szCs w:val="24"/>
                <w:highlight w:val="none"/>
              </w:rPr>
            </w:r>
            <w:r/>
          </w:p>
        </w:tc>
      </w:tr>
      <w:tr>
        <w:trPr>
          <w:trHeight w:val="575"/>
        </w:trPr>
        <w:tc>
          <w:tcPr>
            <w:gridSpan w:val="2"/>
            <w:shd w:val="clear" w:color="auto" w:fill="bfbfbf"/>
            <w:tcW w:w="1133" w:type="dxa"/>
            <w:vAlign w:val="center"/>
            <w:textDirection w:val="lrTb"/>
            <w:noWrap/>
          </w:tcPr>
          <w:p>
            <w:pPr>
              <w:pStyle w:val="1709"/>
              <w:jc w:val="center"/>
              <w:rPr>
                <w:rFonts w:ascii="宋体" w:hAnsi="宋体"/>
                <w:b/>
                <w:color w:val="000000"/>
                <w:sz w:val="24"/>
                <w:szCs w:val="24"/>
                <w:highlight w:val="none"/>
              </w:rPr>
            </w:pPr>
            <w:r>
              <w:rPr>
                <w:rFonts w:hint="eastAsia" w:ascii="宋体" w:hAnsi="宋体"/>
                <w:b/>
                <w:color w:val="000000"/>
                <w:sz w:val="24"/>
                <w:szCs w:val="24"/>
                <w:highlight w:val="none"/>
              </w:rPr>
              <w:t xml:space="preserve">五</w:t>
            </w:r>
            <w:r>
              <w:rPr>
                <w:rFonts w:ascii="宋体" w:hAnsi="宋体"/>
                <w:b/>
                <w:color w:val="000000"/>
                <w:sz w:val="24"/>
                <w:szCs w:val="24"/>
                <w:highlight w:val="none"/>
              </w:rPr>
            </w:r>
            <w:r/>
          </w:p>
        </w:tc>
        <w:tc>
          <w:tcPr>
            <w:gridSpan w:val="8"/>
            <w:shd w:val="clear" w:color="auto" w:fill="bfbfbf"/>
            <w:tcW w:w="8437" w:type="dxa"/>
            <w:vAlign w:val="center"/>
            <w:textDirection w:val="lrTb"/>
            <w:noWrap/>
          </w:tcPr>
          <w:p>
            <w:pPr>
              <w:pStyle w:val="1709"/>
              <w:jc w:val="center"/>
              <w:rPr>
                <w:rFonts w:ascii="宋体" w:hAnsi="宋体"/>
                <w:b/>
                <w:color w:val="000000"/>
                <w:sz w:val="24"/>
                <w:szCs w:val="24"/>
                <w:highlight w:val="none"/>
              </w:rPr>
            </w:pPr>
            <w:r>
              <w:rPr>
                <w:rFonts w:hint="eastAsia" w:ascii="宋体" w:hAnsi="宋体"/>
                <w:b/>
                <w:color w:val="000000"/>
                <w:sz w:val="24"/>
                <w:szCs w:val="24"/>
                <w:highlight w:val="none"/>
              </w:rPr>
              <w:t xml:space="preserve">提供本项目服务所必须的专业技术能力（必填）</w:t>
            </w:r>
            <w:r>
              <w:rPr>
                <w:rFonts w:ascii="宋体" w:hAnsi="宋体"/>
                <w:b/>
                <w:color w:val="000000"/>
                <w:sz w:val="24"/>
                <w:szCs w:val="24"/>
                <w:highlight w:val="none"/>
              </w:rPr>
            </w:r>
            <w:r/>
          </w:p>
        </w:tc>
      </w:tr>
      <w:tr>
        <w:trPr>
          <w:trHeight w:val="1630"/>
        </w:trPr>
        <w:tc>
          <w:tcPr>
            <w:gridSpan w:val="10"/>
            <w:shd w:val="clear" w:color="auto" w:fill="ffffff"/>
            <w:tcW w:w="9570" w:type="dxa"/>
            <w:vAlign w:val="center"/>
            <w:textDirection w:val="lrTb"/>
            <w:noWrap/>
          </w:tcPr>
          <w:p>
            <w:pPr>
              <w:pStyle w:val="1709"/>
              <w:jc w:val="center"/>
              <w:rPr>
                <w:rFonts w:ascii="宋体" w:hAnsi="宋体"/>
                <w:b/>
                <w:color w:val="000000"/>
                <w:sz w:val="24"/>
                <w:szCs w:val="24"/>
                <w:highlight w:val="none"/>
              </w:rPr>
            </w:pPr>
            <w:r>
              <w:rPr>
                <w:rFonts w:ascii="宋体" w:hAnsi="宋体"/>
                <w:b/>
                <w:color w:val="000000"/>
                <w:sz w:val="24"/>
                <w:szCs w:val="24"/>
                <w:highlight w:val="none"/>
              </w:rPr>
            </w:r>
            <w:r/>
          </w:p>
        </w:tc>
      </w:tr>
    </w:tbl>
    <w:p>
      <w:pPr>
        <w:pStyle w:val="1635"/>
        <w:jc w:val="center"/>
        <w:rPr>
          <w:color w:val="000000"/>
          <w:highlight w:val="none"/>
        </w:rPr>
        <w:outlineLvl w:val="2"/>
      </w:pPr>
      <w:r>
        <w:rPr>
          <w:color w:val="000000"/>
          <w:highlight w:val="none"/>
        </w:rPr>
        <w:br w:type="page" w:clear="all"/>
      </w:r>
      <w:bookmarkStart w:id="183" w:name="_Toc256000072"/>
      <w:r>
        <w:rPr>
          <w:rFonts w:ascii="宋体" w:hAnsi="宋体" w:eastAsia="宋体" w:cs="宋体"/>
          <w:color w:val="000000"/>
          <w:highlight w:val="none"/>
        </w:rPr>
        <w:t xml:space="preserve">(五)依法缴纳税收和社会保障资金的良好记录</w:t>
      </w:r>
      <w:bookmarkEnd w:id="183"/>
      <w:r>
        <w:rPr>
          <w:color w:val="000000"/>
          <w:highlight w:val="none"/>
        </w:rPr>
      </w:r>
      <w:r/>
    </w:p>
    <w:p>
      <w:pPr>
        <w:pStyle w:val="1710"/>
        <w:rPr>
          <w:color w:val="000000"/>
          <w:sz w:val="24"/>
          <w:szCs w:val="24"/>
          <w:highlight w:val="none"/>
        </w:rPr>
      </w:pPr>
      <w:r>
        <w:rPr>
          <w:color w:val="000000"/>
          <w:sz w:val="24"/>
          <w:szCs w:val="24"/>
          <w:highlight w:val="none"/>
        </w:rPr>
      </w:r>
      <w:r/>
    </w:p>
    <w:p>
      <w:pPr>
        <w:pStyle w:val="1639"/>
        <w:ind w:firstLine="480"/>
        <w:spacing w:line="360" w:lineRule="auto"/>
        <w:rPr>
          <w:color w:val="000000"/>
          <w:sz w:val="24"/>
          <w:szCs w:val="24"/>
          <w:highlight w:val="none"/>
        </w:rPr>
      </w:pPr>
      <w:r>
        <w:rPr>
          <w:rFonts w:hint="eastAsia"/>
          <w:color w:val="000000"/>
          <w:sz w:val="24"/>
          <w:szCs w:val="24"/>
          <w:highlight w:val="none"/>
        </w:rPr>
        <w:t xml:space="preserve">提供参加本次政府采购活动前半年内至少一个月依法缴纳税收和社会保险的凭据，或提供资格承诺函。</w:t>
      </w:r>
      <w:r>
        <w:rPr>
          <w:color w:val="000000"/>
          <w:sz w:val="24"/>
          <w:szCs w:val="24"/>
          <w:highlight w:val="none"/>
        </w:rPr>
      </w:r>
      <w:r/>
    </w:p>
    <w:p>
      <w:pPr>
        <w:pStyle w:val="1628"/>
        <w:jc w:val="center"/>
        <w:rPr>
          <w:color w:val="000000"/>
          <w:highlight w:val="none"/>
        </w:rPr>
        <w:outlineLvl w:val="2"/>
      </w:pPr>
      <w:r>
        <w:rPr>
          <w:color w:val="000000"/>
          <w:highlight w:val="none"/>
        </w:rPr>
        <w:br w:type="page" w:clear="all"/>
      </w:r>
      <w:bookmarkStart w:id="184" w:name="_Toc256000073"/>
      <w:r>
        <w:rPr>
          <w:rFonts w:ascii="宋体" w:hAnsi="宋体" w:eastAsia="宋体" w:cs="宋体"/>
          <w:color w:val="000000"/>
          <w:highlight w:val="none"/>
        </w:rPr>
        <w:t xml:space="preserve">(六)法律、行政法规规定的其他条件</w:t>
      </w:r>
      <w:bookmarkEnd w:id="184"/>
      <w:r>
        <w:rPr>
          <w:color w:val="000000"/>
          <w:highlight w:val="none"/>
        </w:rPr>
      </w:r>
      <w:r/>
    </w:p>
    <w:p>
      <w:pPr>
        <w:pStyle w:val="1509"/>
        <w:rPr>
          <w:color w:val="000000"/>
          <w:sz w:val="24"/>
          <w:szCs w:val="24"/>
          <w:highlight w:val="none"/>
        </w:rPr>
      </w:pPr>
      <w:r>
        <w:rPr>
          <w:color w:val="000000"/>
          <w:sz w:val="24"/>
          <w:szCs w:val="24"/>
          <w:highlight w:val="none"/>
        </w:rPr>
      </w:r>
      <w:r/>
    </w:p>
    <w:p>
      <w:pPr>
        <w:pStyle w:val="1589"/>
        <w:jc w:val="center"/>
        <w:rPr>
          <w:color w:val="000000"/>
          <w:highlight w:val="none"/>
        </w:rPr>
        <w:outlineLvl w:val="2"/>
      </w:pPr>
      <w:r>
        <w:rPr>
          <w:color w:val="000000"/>
          <w:highlight w:val="none"/>
        </w:rPr>
        <w:br w:type="page" w:clear="all"/>
      </w:r>
      <w:bookmarkStart w:id="185" w:name="_Toc256000074"/>
      <w:r>
        <w:rPr>
          <w:rFonts w:ascii="宋体" w:hAnsi="宋体" w:eastAsia="宋体" w:cs="宋体"/>
          <w:color w:val="000000"/>
          <w:highlight w:val="none"/>
        </w:rPr>
        <w:t xml:space="preserve">(七)落实政府采购政策需满足的资格要求</w:t>
      </w:r>
      <w:bookmarkEnd w:id="185"/>
      <w:r>
        <w:rPr>
          <w:color w:val="000000"/>
          <w:highlight w:val="none"/>
        </w:rPr>
      </w:r>
      <w:r/>
    </w:p>
    <w:p>
      <w:pPr>
        <w:pStyle w:val="1711"/>
        <w:rPr>
          <w:color w:val="000000"/>
          <w:sz w:val="24"/>
          <w:szCs w:val="24"/>
          <w:highlight w:val="none"/>
        </w:rPr>
      </w:pPr>
      <w:r>
        <w:rPr>
          <w:color w:val="000000"/>
          <w:sz w:val="24"/>
          <w:szCs w:val="24"/>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s="宋体"/>
          <w:color w:val="000000"/>
          <w:sz w:val="24"/>
          <w:szCs w:val="24"/>
          <w:highlight w:val="none"/>
        </w:rPr>
        <w:t xml:space="preserve">（1）本项目</w:t>
      </w:r>
      <w:r>
        <w:rPr>
          <w:rFonts w:hint="eastAsia" w:ascii="宋体" w:hAnsi="宋体" w:cs="宋体"/>
          <w:color w:val="000000"/>
          <w:sz w:val="24"/>
          <w:szCs w:val="24"/>
          <w:highlight w:val="none"/>
          <w:u w:val="single"/>
        </w:rPr>
        <w:t xml:space="preserve">支持</w:t>
      </w:r>
      <w:r>
        <w:rPr>
          <w:rFonts w:hint="eastAsia" w:ascii="宋体" w:hAnsi="宋体" w:cs="宋体"/>
          <w:color w:val="000000"/>
          <w:sz w:val="24"/>
          <w:szCs w:val="24"/>
          <w:highlight w:val="none"/>
        </w:rPr>
        <w:t xml:space="preserve">和适用节能环保产品（财库【2019】9号）、（财库【2019】19号）、（财库【2019】18号）；支持中小微企业（财库【2022】19号）、（苏财购【2022】45号）、（工信部联企业【2011】300）等政策。</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2）根据财政部、工业和信息化部关于印发《政府采购促进中小企业发展管理办法》的通知及工信部联企业[2011]300号《工业和信息化部、国家统计局、国家发展和改革委员会、财政部关于印发中小企业划型标准规定的通知》等的相关规定，本项目属于</w:t>
      </w:r>
      <w:r>
        <w:rPr>
          <w:rFonts w:hint="eastAsia" w:ascii="宋体" w:hAnsi="宋体"/>
          <w:color w:val="000000"/>
          <w:sz w:val="24"/>
          <w:szCs w:val="28"/>
          <w:highlight w:val="none"/>
          <w:u w:val="single"/>
          <w:lang w:eastAsia="zh-CN"/>
        </w:rPr>
        <w:t xml:space="preserve">服务</w:t>
      </w:r>
      <w:r>
        <w:rPr>
          <w:rFonts w:hint="eastAsia" w:ascii="宋体" w:hAnsi="宋体"/>
          <w:color w:val="000000"/>
          <w:sz w:val="24"/>
          <w:szCs w:val="28"/>
          <w:highlight w:val="none"/>
          <w:u w:val="single"/>
        </w:rPr>
        <w:t xml:space="preserve">类</w:t>
      </w:r>
      <w:r>
        <w:rPr>
          <w:rFonts w:hint="eastAsia" w:ascii="宋体" w:hAnsi="宋体"/>
          <w:color w:val="000000"/>
          <w:sz w:val="24"/>
          <w:szCs w:val="28"/>
          <w:highlight w:val="none"/>
        </w:rPr>
        <w:t xml:space="preserve">项目，采购标的对应的行业为</w:t>
      </w:r>
      <w:r>
        <w:rPr>
          <w:rFonts w:hint="eastAsia" w:ascii="宋体" w:hAnsi="宋体"/>
          <w:color w:val="000000"/>
          <w:sz w:val="24"/>
          <w:szCs w:val="28"/>
          <w:highlight w:val="none"/>
          <w:u w:val="single"/>
        </w:rPr>
        <w:t xml:space="preserve">信息传输行业</w:t>
      </w:r>
      <w:r>
        <w:rPr>
          <w:rFonts w:hint="eastAsia" w:ascii="宋体" w:hAnsi="宋体"/>
          <w:color w:val="000000"/>
          <w:sz w:val="24"/>
          <w:szCs w:val="28"/>
          <w:highlight w:val="none"/>
        </w:rPr>
        <w:t xml:space="preserve">，本项目不专门面向中小微企业，如果本项目的</w:t>
      </w:r>
      <w:r>
        <w:rPr>
          <w:rFonts w:hint="eastAsia" w:ascii="宋体" w:hAnsi="宋体"/>
          <w:color w:val="000000"/>
          <w:sz w:val="24"/>
          <w:szCs w:val="28"/>
          <w:highlight w:val="none"/>
          <w:lang w:eastAsia="zh-CN"/>
        </w:rPr>
        <w:t xml:space="preserve">服务</w:t>
      </w:r>
      <w:r>
        <w:rPr>
          <w:rFonts w:hint="eastAsia" w:ascii="宋体" w:hAnsi="宋体"/>
          <w:color w:val="000000"/>
          <w:sz w:val="24"/>
          <w:szCs w:val="28"/>
          <w:highlight w:val="none"/>
        </w:rPr>
        <w:t xml:space="preserve">全部由小型或微型企业或视同小型和微型企业承接的，对其价格给予10%的调减，用调减后价格计算价格分。</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(3)根据《财政部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rPr>
          <w:rFonts w:ascii="宋体" w:hAnsi="宋体"/>
          <w:color w:val="000000"/>
          <w:sz w:val="24"/>
          <w:szCs w:val="28"/>
          <w:highlight w:val="none"/>
        </w:rPr>
      </w:r>
      <w:r/>
    </w:p>
    <w:p>
      <w:pPr>
        <w:pStyle w:val="1131"/>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(4)根据《关于促进残疾人就业政府采购政策的通知》(财库〔2017〕141号)要求，残疾人福利性单位视同小型、微型企业。符合条件的残疾人福利性单位应当提供《残疾人福利性单位声明函》，并对声明的真实性负责。</w:t>
      </w:r>
      <w:r>
        <w:rPr>
          <w:rFonts w:ascii="宋体" w:hAnsi="宋体"/>
          <w:color w:val="000000"/>
          <w:sz w:val="24"/>
          <w:szCs w:val="28"/>
          <w:highlight w:val="none"/>
        </w:rPr>
      </w:r>
      <w:r/>
    </w:p>
    <w:p>
      <w:pPr>
        <w:pStyle w:val="1131"/>
        <w:spacing w:line="360" w:lineRule="auto"/>
        <w:rPr>
          <w:rFonts w:cs="宋体"/>
          <w:color w:val="000000"/>
          <w:sz w:val="24"/>
          <w:szCs w:val="24"/>
          <w:highlight w:val="none"/>
        </w:rPr>
      </w:pPr>
      <w:r>
        <w:rPr>
          <w:rFonts w:hint="eastAsia" w:ascii="宋体" w:hAnsi="宋体"/>
          <w:color w:val="000000"/>
          <w:sz w:val="24"/>
          <w:szCs w:val="28"/>
          <w:highlight w:val="none"/>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rPr>
          <w:rFonts w:cs="宋体"/>
          <w:color w:val="000000"/>
          <w:sz w:val="24"/>
          <w:szCs w:val="24"/>
          <w:highlight w:val="none"/>
        </w:rPr>
      </w:r>
      <w:r/>
    </w:p>
    <w:p>
      <w:pPr>
        <w:pStyle w:val="1642"/>
        <w:jc w:val="center"/>
        <w:rPr>
          <w:color w:val="000000"/>
          <w:sz w:val="24"/>
          <w:highlight w:val="none"/>
        </w:rPr>
        <w:outlineLvl w:val="2"/>
      </w:pPr>
      <w:r>
        <w:rPr>
          <w:color w:val="000000"/>
          <w:sz w:val="24"/>
          <w:highlight w:val="none"/>
        </w:rPr>
        <w:br w:type="page" w:clear="all"/>
      </w:r>
      <w:bookmarkStart w:id="186" w:name="_Toc256000075"/>
      <w:r>
        <w:rPr>
          <w:rFonts w:ascii="宋体" w:hAnsi="宋体" w:cs="宋体"/>
          <w:color w:val="000000"/>
          <w:sz w:val="24"/>
          <w:highlight w:val="none"/>
        </w:rPr>
        <w:t xml:space="preserve">(八)本项目的特定资格要求</w:t>
      </w:r>
      <w:bookmarkEnd w:id="186"/>
      <w:r>
        <w:rPr>
          <w:color w:val="000000"/>
          <w:sz w:val="24"/>
          <w:highlight w:val="none"/>
        </w:rPr>
      </w:r>
      <w:r/>
    </w:p>
    <w:p>
      <w:pPr>
        <w:pStyle w:val="1466"/>
        <w:rPr>
          <w:color w:val="000000"/>
          <w:sz w:val="24"/>
          <w:szCs w:val="24"/>
          <w:highlight w:val="none"/>
        </w:rPr>
      </w:pPr>
      <w:r>
        <w:rPr>
          <w:color w:val="000000"/>
          <w:sz w:val="24"/>
          <w:szCs w:val="24"/>
          <w:highlight w:val="none"/>
        </w:rPr>
      </w:r>
      <w:r/>
    </w:p>
    <w:p>
      <w:pPr>
        <w:pStyle w:val="1630"/>
        <w:jc w:val="center"/>
        <w:rPr>
          <w:color w:val="000000"/>
          <w:highlight w:val="none"/>
        </w:rPr>
        <w:outlineLvl w:val="2"/>
      </w:pPr>
      <w:r>
        <w:rPr>
          <w:color w:val="000000"/>
          <w:highlight w:val="none"/>
        </w:rPr>
        <w:br w:type="page" w:clear="all"/>
      </w:r>
      <w:bookmarkStart w:id="187" w:name="_Toc256000076"/>
      <w:r>
        <w:rPr>
          <w:rFonts w:ascii="宋体" w:hAnsi="宋体" w:eastAsia="宋体" w:cs="宋体"/>
          <w:color w:val="000000"/>
          <w:highlight w:val="none"/>
        </w:rPr>
        <w:t xml:space="preserve">(九)法定代表人身份证明书</w:t>
      </w:r>
      <w:bookmarkEnd w:id="187"/>
      <w:r>
        <w:rPr>
          <w:color w:val="000000"/>
          <w:highlight w:val="none"/>
        </w:rPr>
      </w:r>
      <w:r/>
    </w:p>
    <w:p>
      <w:pPr>
        <w:pStyle w:val="1712"/>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兹证明同志，性别，居民身份证号，在我单位任职务，系我单位主要负责人即法定代表人。</w:t>
      </w:r>
      <w:r>
        <w:rPr>
          <w:rFonts w:ascii="宋体" w:hAnsi="宋体"/>
          <w:color w:val="000000"/>
          <w:sz w:val="24"/>
          <w:szCs w:val="24"/>
          <w:highlight w:val="none"/>
        </w:rPr>
      </w:r>
      <w:r/>
    </w:p>
    <w:p>
      <w:pPr>
        <w:pStyle w:val="1712"/>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712"/>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712"/>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712"/>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单位地址：</w:t>
      </w:r>
      <w:r>
        <w:rPr>
          <w:rFonts w:ascii="宋体" w:hAnsi="宋体"/>
          <w:color w:val="000000"/>
          <w:sz w:val="24"/>
          <w:szCs w:val="24"/>
          <w:highlight w:val="none"/>
        </w:rPr>
      </w:r>
      <w:r/>
    </w:p>
    <w:p>
      <w:pPr>
        <w:pStyle w:val="1712"/>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电话：</w:t>
      </w:r>
      <w:r>
        <w:rPr>
          <w:rFonts w:ascii="宋体" w:hAnsi="宋体"/>
          <w:color w:val="000000"/>
          <w:sz w:val="24"/>
          <w:szCs w:val="24"/>
          <w:highlight w:val="none"/>
        </w:rPr>
      </w:r>
      <w:r/>
    </w:p>
    <w:p>
      <w:pPr>
        <w:pStyle w:val="1712"/>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单位全称：</w:t>
      </w:r>
      <w:r>
        <w:rPr>
          <w:rFonts w:ascii="宋体" w:hAnsi="宋体"/>
          <w:color w:val="000000"/>
          <w:sz w:val="24"/>
          <w:szCs w:val="24"/>
          <w:highlight w:val="none"/>
        </w:rPr>
      </w:r>
      <w:r/>
    </w:p>
    <w:p>
      <w:pPr>
        <w:pStyle w:val="1712"/>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公章：</w:t>
      </w:r>
      <w:r>
        <w:rPr>
          <w:rFonts w:ascii="宋体" w:hAnsi="宋体"/>
          <w:color w:val="000000"/>
          <w:sz w:val="24"/>
          <w:szCs w:val="24"/>
          <w:highlight w:val="none"/>
        </w:rPr>
      </w:r>
      <w:r/>
    </w:p>
    <w:p>
      <w:pPr>
        <w:pStyle w:val="1712"/>
        <w:ind w:firstLine="480"/>
        <w:spacing w:line="360" w:lineRule="auto"/>
        <w:tabs>
          <w:tab w:val="left" w:pos="7290" w:leader="none"/>
        </w:tabs>
        <w:rPr>
          <w:rFonts w:ascii="宋体" w:hAnsi="宋体"/>
          <w:color w:val="000000"/>
          <w:sz w:val="24"/>
          <w:szCs w:val="24"/>
          <w:highlight w:val="none"/>
        </w:rPr>
      </w:pPr>
      <w:r>
        <w:rPr>
          <w:rFonts w:ascii="宋体" w:hAnsi="宋体"/>
          <w:color w:val="000000"/>
          <w:sz w:val="24"/>
          <w:szCs w:val="24"/>
          <w:highlight w:val="none"/>
        </w:rPr>
      </w:r>
      <w:r/>
    </w:p>
    <w:p>
      <w:pPr>
        <w:pStyle w:val="1712"/>
        <w:ind w:firstLine="480"/>
        <w:jc w:val="right"/>
        <w:spacing w:line="360" w:lineRule="auto"/>
        <w:tabs>
          <w:tab w:val="left" w:pos="7290" w:leader="none"/>
        </w:tabs>
        <w:rPr>
          <w:rFonts w:ascii="宋体" w:hAnsi="宋体"/>
          <w:color w:val="000000"/>
          <w:sz w:val="24"/>
          <w:szCs w:val="24"/>
          <w:highlight w:val="none"/>
        </w:rPr>
      </w:pPr>
      <w:r>
        <w:rPr>
          <w:rFonts w:hint="eastAsia" w:ascii="宋体" w:hAnsi="宋体"/>
          <w:color w:val="000000"/>
          <w:sz w:val="24"/>
          <w:szCs w:val="24"/>
          <w:highlight w:val="none"/>
        </w:rPr>
        <w:t xml:space="preserve">年  月  日</w:t>
      </w:r>
      <w:r>
        <w:rPr>
          <w:rFonts w:ascii="宋体" w:hAnsi="宋体"/>
          <w:color w:val="000000"/>
          <w:sz w:val="24"/>
          <w:szCs w:val="24"/>
          <w:highlight w:val="none"/>
        </w:rPr>
      </w:r>
      <w:r/>
    </w:p>
    <w:p>
      <w:pPr>
        <w:pStyle w:val="1712"/>
        <w:ind w:firstLine="482"/>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712"/>
        <w:ind w:firstLine="482"/>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712"/>
        <w:ind w:firstLine="482"/>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712"/>
        <w:ind w:firstLine="482"/>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712"/>
        <w:ind w:firstLine="482"/>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712"/>
        <w:ind w:firstLine="482"/>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712"/>
        <w:ind w:firstLine="482"/>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712"/>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71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附：法定代表人居民身份证扫描件</w:t>
      </w:r>
      <w:r>
        <w:rPr>
          <w:rFonts w:ascii="宋体" w:hAnsi="宋体"/>
          <w:bCs/>
          <w:color w:val="000000"/>
          <w:sz w:val="24"/>
          <w:szCs w:val="24"/>
          <w:highlight w:val="none"/>
        </w:rPr>
      </w:r>
      <w:r/>
    </w:p>
    <w:p>
      <w:pPr>
        <w:pStyle w:val="1712"/>
        <w:ind w:firstLine="482"/>
        <w:spacing w:line="360" w:lineRule="auto"/>
        <w:tabs>
          <w:tab w:val="left" w:pos="7290" w:leader="none"/>
        </w:tabs>
        <w:rPr>
          <w:rFonts w:ascii="宋体" w:hAnsi="宋体"/>
          <w:b/>
          <w:bCs/>
          <w:color w:val="000000"/>
          <w:sz w:val="24"/>
          <w:szCs w:val="24"/>
          <w:highlight w:val="none"/>
        </w:rPr>
      </w:pPr>
      <w:r>
        <w:rPr>
          <w:rFonts w:hint="eastAsia" w:ascii="宋体" w:hAnsi="宋体"/>
          <w:b/>
          <w:bCs/>
          <w:color w:val="000000"/>
          <w:sz w:val="24"/>
          <w:szCs w:val="24"/>
          <w:highlight w:val="none"/>
          <w:u w:val="single"/>
        </w:rPr>
        <w:t xml:space="preserve">注：1.“法定代表人”直接参加投标响应活动的仅需填写本身份证明</w:t>
      </w:r>
      <w:r>
        <w:rPr>
          <w:rFonts w:hint="eastAsia" w:ascii="宋体" w:hAnsi="宋体"/>
          <w:b/>
          <w:bCs/>
          <w:color w:val="000000"/>
          <w:sz w:val="24"/>
          <w:szCs w:val="24"/>
          <w:highlight w:val="none"/>
        </w:rPr>
        <w:t xml:space="preserve">。</w:t>
      </w:r>
      <w:r>
        <w:rPr>
          <w:rFonts w:ascii="宋体" w:hAnsi="宋体"/>
          <w:b/>
          <w:bCs/>
          <w:color w:val="000000"/>
          <w:sz w:val="24"/>
          <w:szCs w:val="24"/>
          <w:highlight w:val="none"/>
        </w:rPr>
      </w:r>
      <w:r/>
    </w:p>
    <w:p>
      <w:pPr>
        <w:pStyle w:val="1712"/>
        <w:ind w:firstLine="482"/>
        <w:spacing w:line="360" w:lineRule="auto"/>
        <w:tabs>
          <w:tab w:val="left" w:pos="7290" w:leader="none"/>
        </w:tabs>
        <w:rPr>
          <w:rFonts w:ascii="宋体" w:hAnsi="宋体"/>
          <w:b/>
          <w:bCs/>
          <w:color w:val="000000"/>
          <w:sz w:val="24"/>
          <w:szCs w:val="24"/>
          <w:highlight w:val="none"/>
          <w:u w:val="single"/>
        </w:rPr>
      </w:pPr>
      <w:r>
        <w:rPr>
          <w:rFonts w:hint="eastAsia" w:ascii="宋体" w:hAnsi="宋体"/>
          <w:b/>
          <w:bCs/>
          <w:color w:val="000000"/>
          <w:sz w:val="24"/>
          <w:szCs w:val="24"/>
          <w:highlight w:val="none"/>
          <w:u w:val="single"/>
        </w:rPr>
        <w:t xml:space="preserve">2.投标人</w:t>
      </w:r>
      <w:r>
        <w:rPr>
          <w:rFonts w:ascii="宋体" w:hAnsi="宋体"/>
          <w:b/>
          <w:bCs/>
          <w:color w:val="000000"/>
          <w:sz w:val="24"/>
          <w:szCs w:val="24"/>
          <w:highlight w:val="none"/>
          <w:u w:val="single"/>
        </w:rPr>
        <w:t xml:space="preserve">属于非法人组织的，按照法律、行政法规规定能够对外代表其从事民事活动的主要负责人，视同法定代表人。</w:t>
      </w:r>
      <w:r>
        <w:rPr>
          <w:rFonts w:ascii="宋体" w:hAnsi="宋体"/>
          <w:b/>
          <w:bCs/>
          <w:color w:val="000000"/>
          <w:sz w:val="24"/>
          <w:szCs w:val="24"/>
          <w:highlight w:val="none"/>
          <w:u w:val="single"/>
        </w:rPr>
      </w:r>
      <w:r/>
    </w:p>
    <w:p>
      <w:pPr>
        <w:pStyle w:val="1712"/>
        <w:rPr>
          <w:color w:val="000000"/>
          <w:sz w:val="24"/>
          <w:szCs w:val="24"/>
          <w:highlight w:val="none"/>
        </w:rPr>
      </w:pPr>
      <w:r>
        <w:rPr>
          <w:color w:val="000000"/>
          <w:sz w:val="24"/>
          <w:szCs w:val="24"/>
          <w:highlight w:val="none"/>
        </w:rPr>
      </w:r>
      <w:r/>
    </w:p>
    <w:p>
      <w:pPr>
        <w:pStyle w:val="1623"/>
        <w:jc w:val="center"/>
        <w:rPr>
          <w:color w:val="000000"/>
          <w:sz w:val="24"/>
          <w:highlight w:val="none"/>
        </w:rPr>
        <w:outlineLvl w:val="2"/>
      </w:pPr>
      <w:r>
        <w:rPr>
          <w:color w:val="000000"/>
          <w:sz w:val="24"/>
          <w:highlight w:val="none"/>
        </w:rPr>
        <w:br w:type="page" w:clear="all"/>
      </w:r>
      <w:bookmarkStart w:id="188" w:name="_Toc256000077"/>
      <w:r>
        <w:rPr>
          <w:rFonts w:ascii="宋体" w:hAnsi="宋体" w:cs="宋体"/>
          <w:color w:val="000000"/>
          <w:sz w:val="24"/>
          <w:highlight w:val="none"/>
        </w:rPr>
        <w:t xml:space="preserve">(十)法定代表人授权委托书</w:t>
      </w:r>
      <w:bookmarkEnd w:id="188"/>
      <w:r>
        <w:rPr>
          <w:color w:val="000000"/>
          <w:sz w:val="24"/>
          <w:highlight w:val="none"/>
        </w:rPr>
      </w:r>
      <w:r/>
    </w:p>
    <w:p>
      <w:pPr>
        <w:pStyle w:val="1713"/>
        <w:ind w:right="42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本授权书声明：</w:t>
      </w:r>
      <w:r>
        <w:rPr>
          <w:rFonts w:hint="eastAsia" w:ascii="宋体" w:hAnsi="宋体"/>
          <w:b/>
          <w:color w:val="000000"/>
          <w:sz w:val="24"/>
          <w:szCs w:val="24"/>
          <w:highlight w:val="none"/>
          <w:u w:val="single"/>
        </w:rPr>
        <w:t xml:space="preserve">（投标人名称）</w:t>
      </w:r>
      <w:r>
        <w:rPr>
          <w:rFonts w:hint="eastAsia" w:ascii="宋体" w:hAnsi="宋体"/>
          <w:color w:val="000000"/>
          <w:sz w:val="24"/>
          <w:szCs w:val="24"/>
          <w:highlight w:val="none"/>
        </w:rPr>
        <w:t xml:space="preserve">法定代表人</w:t>
      </w:r>
      <w:r>
        <w:rPr>
          <w:rFonts w:hint="eastAsia" w:ascii="宋体" w:hAnsi="宋体"/>
          <w:b/>
          <w:color w:val="000000"/>
          <w:sz w:val="24"/>
          <w:szCs w:val="24"/>
          <w:highlight w:val="none"/>
          <w:u w:val="single"/>
        </w:rPr>
        <w:t xml:space="preserve">（姓名）</w:t>
      </w:r>
      <w:r>
        <w:rPr>
          <w:rFonts w:hint="eastAsia" w:ascii="宋体" w:hAnsi="宋体"/>
          <w:color w:val="000000"/>
          <w:sz w:val="24"/>
          <w:szCs w:val="24"/>
          <w:highlight w:val="none"/>
        </w:rPr>
        <w:t xml:space="preserve">授权</w:t>
      </w:r>
      <w:r>
        <w:rPr>
          <w:rFonts w:hint="eastAsia" w:ascii="宋体" w:hAnsi="宋体"/>
          <w:b/>
          <w:color w:val="000000"/>
          <w:sz w:val="24"/>
          <w:szCs w:val="24"/>
          <w:highlight w:val="none"/>
          <w:u w:val="single"/>
        </w:rPr>
        <w:t xml:space="preserve">（委托代理人的姓名、身份证号）</w:t>
      </w:r>
      <w:r>
        <w:rPr>
          <w:rFonts w:hint="eastAsia" w:ascii="宋体" w:hAnsi="宋体"/>
          <w:color w:val="000000"/>
          <w:sz w:val="24"/>
          <w:szCs w:val="24"/>
          <w:highlight w:val="none"/>
        </w:rPr>
        <w:t xml:space="preserve">为我方就</w:t>
      </w:r>
      <w:r>
        <w:rPr>
          <w:rFonts w:hint="eastAsia" w:ascii="宋体" w:hAnsi="宋体"/>
          <w:b/>
          <w:color w:val="000000"/>
          <w:sz w:val="24"/>
          <w:szCs w:val="24"/>
          <w:highlight w:val="none"/>
          <w:u w:val="single"/>
        </w:rPr>
        <w:t xml:space="preserve">（代理机构）代理的（项目编号）</w:t>
      </w:r>
      <w:r>
        <w:rPr>
          <w:rFonts w:hint="eastAsia" w:ascii="宋体" w:hAnsi="宋体"/>
          <w:bCs/>
          <w:color w:val="000000"/>
          <w:sz w:val="24"/>
          <w:szCs w:val="24"/>
          <w:highlight w:val="none"/>
        </w:rPr>
        <w:t xml:space="preserve">项目</w:t>
      </w:r>
      <w:r>
        <w:rPr>
          <w:rFonts w:hint="eastAsia" w:ascii="宋体" w:hAnsi="宋体"/>
          <w:color w:val="000000"/>
          <w:sz w:val="24"/>
          <w:szCs w:val="24"/>
          <w:highlight w:val="none"/>
        </w:rPr>
        <w:t xml:space="preserve">的投标活动的合法代理人，以本公司名义全权处理一切与该项目投标有关的事务（含合同签订）。</w:t>
      </w:r>
      <w:r>
        <w:rPr>
          <w:rFonts w:ascii="宋体" w:hAnsi="宋体"/>
          <w:color w:val="000000"/>
          <w:sz w:val="24"/>
          <w:szCs w:val="24"/>
          <w:highlight w:val="none"/>
        </w:rPr>
      </w:r>
      <w:r/>
    </w:p>
    <w:p>
      <w:pPr>
        <w:pStyle w:val="1713"/>
        <w:ind w:firstLine="480"/>
        <w:spacing w:line="360" w:lineRule="auto"/>
        <w:tabs>
          <w:tab w:val="left" w:pos="5560" w:leader="none"/>
        </w:tabs>
        <w:rPr>
          <w:rFonts w:ascii="宋体" w:hAnsi="宋体"/>
          <w:color w:val="000000"/>
          <w:sz w:val="24"/>
          <w:szCs w:val="24"/>
          <w:highlight w:val="none"/>
        </w:rPr>
      </w:pPr>
      <w:r>
        <w:rPr>
          <w:rFonts w:hint="eastAsia" w:ascii="宋体" w:hAnsi="宋体"/>
          <w:color w:val="000000"/>
          <w:sz w:val="24"/>
          <w:szCs w:val="24"/>
          <w:highlight w:val="none"/>
        </w:rPr>
        <w:tab/>
      </w:r>
      <w:r>
        <w:rPr>
          <w:rFonts w:ascii="宋体" w:hAnsi="宋体"/>
          <w:color w:val="000000"/>
          <w:sz w:val="24"/>
          <w:szCs w:val="24"/>
          <w:highlight w:val="none"/>
        </w:rPr>
      </w:r>
      <w:r/>
    </w:p>
    <w:p>
      <w:pPr>
        <w:pStyle w:val="171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本授权书于</w:t>
      </w:r>
      <w:r>
        <w:rPr>
          <w:rFonts w:hint="eastAsia" w:ascii="宋体" w:hAnsi="宋体"/>
          <w:color w:val="000000"/>
          <w:sz w:val="24"/>
          <w:szCs w:val="24"/>
          <w:highlight w:val="none"/>
        </w:rPr>
        <w:t xml:space="preserve">年月日</w:t>
      </w:r>
      <w:r>
        <w:rPr>
          <w:rFonts w:ascii="宋体" w:hAnsi="宋体"/>
          <w:color w:val="000000"/>
          <w:sz w:val="24"/>
          <w:szCs w:val="24"/>
          <w:highlight w:val="none"/>
        </w:rPr>
        <w:t xml:space="preserve">在相应位置签字或盖章后生效</w:t>
      </w:r>
      <w:r>
        <w:rPr>
          <w:rFonts w:hint="eastAsia" w:ascii="宋体" w:hAnsi="宋体"/>
          <w:color w:val="000000"/>
          <w:sz w:val="24"/>
          <w:szCs w:val="24"/>
          <w:highlight w:val="none"/>
        </w:rPr>
        <w:t xml:space="preserve">，特此声明。</w:t>
      </w:r>
      <w:r>
        <w:rPr>
          <w:rFonts w:ascii="宋体" w:hAnsi="宋体"/>
          <w:color w:val="000000"/>
          <w:sz w:val="24"/>
          <w:szCs w:val="24"/>
          <w:highlight w:val="none"/>
        </w:rPr>
      </w:r>
      <w:r/>
    </w:p>
    <w:p>
      <w:pPr>
        <w:pStyle w:val="171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委托代理人身份证号码：</w:t>
      </w:r>
      <w:r>
        <w:rPr>
          <w:rFonts w:ascii="宋体" w:hAnsi="宋体"/>
          <w:color w:val="000000"/>
          <w:sz w:val="24"/>
          <w:szCs w:val="24"/>
          <w:highlight w:val="none"/>
        </w:rPr>
      </w:r>
      <w:r/>
    </w:p>
    <w:p>
      <w:pPr>
        <w:pStyle w:val="171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委托代理人联系电话：（手机）</w:t>
      </w:r>
      <w:r>
        <w:rPr>
          <w:rFonts w:ascii="宋体" w:hAnsi="宋体"/>
          <w:color w:val="000000"/>
          <w:sz w:val="24"/>
          <w:szCs w:val="24"/>
          <w:highlight w:val="none"/>
        </w:rPr>
      </w:r>
      <w:r/>
    </w:p>
    <w:p>
      <w:pPr>
        <w:pStyle w:val="171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法定代表人（负责人）签章：</w:t>
      </w:r>
      <w:r>
        <w:rPr>
          <w:rFonts w:ascii="宋体" w:hAnsi="宋体"/>
          <w:color w:val="000000"/>
          <w:sz w:val="24"/>
          <w:szCs w:val="24"/>
          <w:highlight w:val="none"/>
        </w:rPr>
      </w:r>
      <w:r/>
    </w:p>
    <w:p>
      <w:pPr>
        <w:pStyle w:val="1713"/>
        <w:ind w:firstLine="480"/>
        <w:spacing w:line="360" w:lineRule="auto"/>
        <w:rPr>
          <w:rFonts w:ascii="宋体" w:hAnsi="宋体"/>
          <w:color w:val="000000"/>
          <w:sz w:val="24"/>
          <w:szCs w:val="24"/>
          <w:highlight w:val="none"/>
          <w:u w:val="single"/>
        </w:rPr>
      </w:pPr>
      <w:r>
        <w:rPr>
          <w:rFonts w:ascii="宋体" w:hAnsi="宋体"/>
          <w:color w:val="000000"/>
          <w:sz w:val="24"/>
          <w:szCs w:val="24"/>
          <w:highlight w:val="none"/>
          <w:u w:val="single"/>
        </w:rPr>
      </w:r>
      <w:r/>
    </w:p>
    <w:p>
      <w:pPr>
        <w:pStyle w:val="171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投标人名称（公章）：</w:t>
      </w:r>
      <w:r>
        <w:rPr>
          <w:rFonts w:ascii="宋体" w:hAnsi="宋体"/>
          <w:color w:val="000000"/>
          <w:sz w:val="24"/>
          <w:szCs w:val="24"/>
          <w:highlight w:val="none"/>
        </w:rPr>
      </w:r>
      <w:r/>
    </w:p>
    <w:p>
      <w:pPr>
        <w:pStyle w:val="1713"/>
        <w:ind w:firstLine="48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日期：</w:t>
      </w:r>
      <w:r>
        <w:rPr>
          <w:rFonts w:ascii="宋体" w:hAnsi="宋体"/>
          <w:color w:val="000000"/>
          <w:sz w:val="24"/>
          <w:szCs w:val="24"/>
          <w:highlight w:val="none"/>
          <w:u w:val="single"/>
        </w:rPr>
      </w:r>
      <w:r/>
    </w:p>
    <w:p>
      <w:pPr>
        <w:pStyle w:val="1713"/>
        <w:ind w:firstLine="482"/>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713"/>
        <w:ind w:firstLine="482"/>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713"/>
        <w:ind w:firstLine="482"/>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713"/>
        <w:ind w:firstLine="482"/>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713"/>
        <w:ind w:firstLine="482"/>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713"/>
        <w:ind w:firstLine="482"/>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713"/>
        <w:ind w:firstLine="482"/>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713"/>
        <w:ind w:firstLine="482"/>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713"/>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附：委托代理人居民身份证扫描件</w:t>
      </w:r>
      <w:r>
        <w:rPr>
          <w:rFonts w:ascii="宋体" w:hAnsi="宋体"/>
          <w:bCs/>
          <w:color w:val="000000"/>
          <w:sz w:val="24"/>
          <w:szCs w:val="24"/>
          <w:highlight w:val="none"/>
        </w:rPr>
      </w:r>
      <w:r/>
    </w:p>
    <w:p>
      <w:pPr>
        <w:pStyle w:val="1713"/>
        <w:ind w:firstLine="480"/>
        <w:spacing w:line="360" w:lineRule="auto"/>
        <w:rPr>
          <w:rFonts w:ascii="宋体" w:hAnsi="宋体"/>
          <w:bCs/>
          <w:color w:val="000000"/>
          <w:sz w:val="24"/>
          <w:szCs w:val="24"/>
          <w:highlight w:val="none"/>
          <w:u w:val="single"/>
        </w:rPr>
      </w:pPr>
      <w:r>
        <w:rPr>
          <w:rFonts w:hint="eastAsia" w:ascii="宋体" w:hAnsi="宋体"/>
          <w:bCs/>
          <w:color w:val="000000"/>
          <w:sz w:val="24"/>
          <w:szCs w:val="24"/>
          <w:highlight w:val="none"/>
        </w:rPr>
        <w:t xml:space="preserve">注：“法定代表人”授权其他人投标的，须填写法定代表人身份证明书和本委托书。</w:t>
      </w:r>
      <w:r>
        <w:rPr>
          <w:rFonts w:ascii="宋体" w:hAnsi="宋体"/>
          <w:bCs/>
          <w:color w:val="000000"/>
          <w:sz w:val="24"/>
          <w:szCs w:val="24"/>
          <w:highlight w:val="none"/>
          <w:u w:val="single"/>
        </w:rPr>
      </w:r>
      <w:r/>
    </w:p>
    <w:p>
      <w:pPr>
        <w:pStyle w:val="1614"/>
        <w:jc w:val="center"/>
        <w:rPr>
          <w:color w:val="000000"/>
          <w:highlight w:val="none"/>
        </w:rPr>
        <w:outlineLvl w:val="2"/>
      </w:pPr>
      <w:r>
        <w:rPr>
          <w:color w:val="000000"/>
          <w:highlight w:val="none"/>
        </w:rPr>
        <w:br w:type="page" w:clear="all"/>
      </w:r>
      <w:bookmarkStart w:id="189" w:name="_Toc256000078"/>
      <w:r>
        <w:rPr>
          <w:rFonts w:ascii="宋体" w:hAnsi="宋体" w:eastAsia="宋体" w:cs="宋体"/>
          <w:color w:val="000000"/>
          <w:highlight w:val="none"/>
        </w:rPr>
        <w:t xml:space="preserve">(十一)资格承诺函</w:t>
      </w:r>
      <w:bookmarkEnd w:id="189"/>
      <w:r>
        <w:rPr>
          <w:color w:val="000000"/>
          <w:highlight w:val="none"/>
        </w:rPr>
      </w:r>
      <w:r/>
    </w:p>
    <w:p>
      <w:pPr>
        <w:pStyle w:val="1714"/>
        <w:spacing w:line="240" w:lineRule="auto"/>
        <w:rPr>
          <w:rFonts w:ascii="宋体" w:hAnsi="宋体" w:eastAsia="宋体" w:cs="宋体"/>
          <w:color w:val="000000"/>
          <w:sz w:val="24"/>
          <w:szCs w:val="24"/>
          <w:highlight w:val="none"/>
        </w:rPr>
        <w:outlineLvl w:val="9"/>
      </w:pPr>
      <w:r/>
      <w:bookmarkStart w:id="190" w:name="书签4"/>
      <w:r/>
      <w:bookmarkEnd w:id="190"/>
      <w:r/>
      <w:bookmarkStart w:id="191" w:name="_Toc256000079"/>
      <w:r/>
      <w:bookmarkStart w:id="192" w:name="_Toc26415"/>
      <w:r/>
      <w:bookmarkStart w:id="193" w:name="_Toc11321"/>
      <w:r>
        <w:rPr>
          <w:rFonts w:hint="eastAsia" w:ascii="宋体" w:hAnsi="宋体" w:eastAsia="宋体" w:cs="宋体"/>
          <w:color w:val="000000"/>
          <w:sz w:val="24"/>
          <w:szCs w:val="24"/>
          <w:highlight w:val="none"/>
        </w:rPr>
        <w:t xml:space="preserve">资格承诺函</w:t>
      </w:r>
      <w:bookmarkEnd w:id="191"/>
      <w:r/>
      <w:bookmarkEnd w:id="192"/>
      <w:r/>
      <w:bookmarkEnd w:id="193"/>
      <w:r>
        <w:rPr>
          <w:rFonts w:ascii="宋体" w:hAnsi="宋体" w:eastAsia="宋体" w:cs="宋体"/>
          <w:color w:val="000000"/>
          <w:sz w:val="24"/>
          <w:szCs w:val="24"/>
          <w:highlight w:val="none"/>
        </w:rPr>
      </w:r>
      <w:r/>
    </w:p>
    <w:p>
      <w:pPr>
        <w:pStyle w:val="1715"/>
        <w:jc w:val="left"/>
        <w:spacing w:line="560" w:lineRule="exact"/>
        <w:shd w:val="clear" w:color="auto" w:fill="ffffff"/>
        <w:widowControl/>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致：</w:t>
      </w:r>
      <w:r>
        <w:rPr>
          <w:rFonts w:hint="eastAsia" w:ascii="宋体" w:hAnsi="宋体" w:cs="宋体"/>
          <w:color w:val="000000"/>
          <w:sz w:val="24"/>
          <w:szCs w:val="24"/>
          <w:highlight w:val="none"/>
          <w:u w:val="single"/>
        </w:rPr>
        <w:t xml:space="preserve">（采购人、采购代理机构）</w:t>
      </w:r>
      <w:r>
        <w:rPr>
          <w:rFonts w:ascii="宋体" w:hAnsi="宋体" w:cs="宋体"/>
          <w:color w:val="000000"/>
          <w:sz w:val="24"/>
          <w:szCs w:val="24"/>
          <w:highlight w:val="none"/>
          <w:u w:val="single"/>
        </w:rPr>
      </w:r>
      <w:r/>
    </w:p>
    <w:p>
      <w:pPr>
        <w:pStyle w:val="1715"/>
        <w:ind w:firstLine="480"/>
        <w:jc w:val="left"/>
        <w:spacing w:line="56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我单位参与</w:t>
      </w:r>
      <w:r>
        <w:rPr>
          <w:rFonts w:hint="eastAsia" w:ascii="宋体" w:hAnsi="宋体" w:cs="宋体"/>
          <w:color w:val="000000"/>
          <w:sz w:val="24"/>
          <w:szCs w:val="24"/>
          <w:highlight w:val="none"/>
          <w:u w:val="single"/>
        </w:rPr>
        <w:t xml:space="preserve">（项目名称）、（项目编号）</w:t>
      </w:r>
      <w:r>
        <w:rPr>
          <w:rFonts w:hint="eastAsia" w:ascii="宋体" w:hAnsi="宋体" w:cs="宋体"/>
          <w:color w:val="000000"/>
          <w:sz w:val="24"/>
          <w:szCs w:val="24"/>
          <w:highlight w:val="none"/>
        </w:rPr>
        <w:t xml:space="preserve">项目的政府采购活动，现承诺如下：</w:t>
      </w:r>
      <w:r>
        <w:rPr>
          <w:rFonts w:ascii="宋体" w:hAnsi="宋体" w:cs="宋体"/>
          <w:color w:val="000000"/>
          <w:sz w:val="24"/>
          <w:szCs w:val="24"/>
          <w:highlight w:val="none"/>
        </w:rPr>
      </w:r>
      <w:r/>
    </w:p>
    <w:p>
      <w:pPr>
        <w:pStyle w:val="1715"/>
        <w:ind w:firstLine="640"/>
        <w:jc w:val="left"/>
        <w:spacing w:line="560" w:lineRule="exact"/>
        <w:shd w:val="clear" w:color="auto" w:fill="ffffff"/>
        <w:widowControl/>
        <w:rPr>
          <w:rFonts w:ascii="宋体" w:hAnsi="宋体" w:cs="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.我方具有良好的商业信誉和健全的财务会计制度。</w:t>
      </w:r>
      <w:r>
        <w:rPr>
          <w:rFonts w:ascii="宋体" w:hAnsi="宋体" w:cs="宋体"/>
          <w:color w:val="000000"/>
          <w:sz w:val="24"/>
          <w:szCs w:val="24"/>
          <w:highlight w:val="none"/>
        </w:rPr>
      </w:r>
      <w:r/>
    </w:p>
    <w:p>
      <w:pPr>
        <w:pStyle w:val="1715"/>
        <w:ind w:firstLine="640"/>
        <w:jc w:val="left"/>
        <w:spacing w:line="560" w:lineRule="exact"/>
        <w:shd w:val="clear" w:color="auto" w:fill="ffffff"/>
        <w:widowControl/>
        <w:rPr>
          <w:rFonts w:ascii="宋体" w:hAns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.我方具有履行合同所必需的设备和专业技术能力。</w:t>
      </w:r>
      <w:r>
        <w:rPr>
          <w:rFonts w:ascii="宋体" w:hAnsi="宋体" w:cs="宋体"/>
          <w:color w:val="000000"/>
          <w:sz w:val="24"/>
          <w:szCs w:val="24"/>
          <w:highlight w:val="none"/>
        </w:rPr>
      </w:r>
      <w:r/>
    </w:p>
    <w:p>
      <w:pPr>
        <w:pStyle w:val="1715"/>
        <w:ind w:firstLine="640"/>
        <w:jc w:val="left"/>
        <w:spacing w:line="560" w:lineRule="exact"/>
        <w:shd w:val="clear" w:color="auto" w:fill="ffffff"/>
        <w:widowControl/>
        <w:rPr>
          <w:rFonts w:ascii="宋体" w:hAnsi="宋体" w:cs="宋体"/>
          <w:color w:val="000000"/>
          <w:sz w:val="24"/>
          <w:szCs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.我方具有依法缴纳税收和社会保障资金的良好记录。</w:t>
      </w:r>
      <w:r>
        <w:rPr>
          <w:rFonts w:ascii="宋体" w:hAnsi="宋体" w:cs="宋体"/>
          <w:color w:val="000000"/>
          <w:sz w:val="24"/>
          <w:szCs w:val="24"/>
          <w:highlight w:val="none"/>
        </w:rPr>
      </w:r>
      <w:r/>
    </w:p>
    <w:p>
      <w:pPr>
        <w:pStyle w:val="1715"/>
        <w:ind w:firstLine="640"/>
        <w:jc w:val="left"/>
        <w:spacing w:line="560" w:lineRule="exact"/>
        <w:shd w:val="clear" w:color="auto" w:fill="ffffff"/>
        <w:widowControl/>
        <w:rPr>
          <w:rFonts w:ascii="宋体" w:hAnsi="宋体" w:cs="宋体"/>
          <w:color w:val="000000"/>
          <w:sz w:val="24"/>
          <w:szCs w:val="24"/>
          <w:highlight w:val="none"/>
        </w:rPr>
      </w:pPr>
      <w:r>
        <w:rPr>
          <w:rFonts w:ascii="宋体" w:hAnsi="宋体" w:cs="宋体"/>
          <w:color w:val="000000"/>
          <w:sz w:val="24"/>
          <w:szCs w:val="24"/>
          <w:highlight w:val="none"/>
        </w:rPr>
        <w:t xml:space="preserve">4.</w:t>
      </w:r>
      <w:r>
        <w:rPr>
          <w:rFonts w:hint="eastAsia" w:ascii="宋体" w:hAnsi="宋体"/>
          <w:color w:val="000000"/>
          <w:sz w:val="24"/>
          <w:szCs w:val="24"/>
          <w:highlight w:val="none"/>
        </w:rPr>
        <w:t xml:space="preserve">我方参加本项目采购活动前三年内，在经营活动中没有重大违法记录。</w:t>
      </w:r>
      <w:r>
        <w:rPr>
          <w:rFonts w:ascii="宋体" w:hAnsi="宋体" w:cs="宋体"/>
          <w:color w:val="000000"/>
          <w:sz w:val="24"/>
          <w:szCs w:val="24"/>
          <w:highlight w:val="none"/>
        </w:rPr>
      </w:r>
      <w:r/>
    </w:p>
    <w:p>
      <w:pPr>
        <w:pStyle w:val="1715"/>
        <w:ind w:firstLine="640"/>
        <w:jc w:val="left"/>
        <w:spacing w:line="56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若我单位承诺不实，自愿承担提供虚假材料谋取中标、成交的法律责任。</w:t>
      </w:r>
      <w:r>
        <w:rPr>
          <w:rFonts w:ascii="宋体" w:hAnsi="宋体" w:cs="宋体"/>
          <w:color w:val="000000"/>
          <w:sz w:val="24"/>
          <w:szCs w:val="24"/>
          <w:highlight w:val="none"/>
        </w:rPr>
      </w:r>
      <w:r/>
    </w:p>
    <w:p>
      <w:pPr>
        <w:pStyle w:val="1715"/>
        <w:ind w:firstLine="640"/>
        <w:jc w:val="left"/>
        <w:spacing w:line="560" w:lineRule="exact"/>
        <w:shd w:val="clear" w:color="auto" w:fill="ffffff"/>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715"/>
        <w:ind w:firstLine="640"/>
        <w:jc w:val="left"/>
        <w:spacing w:line="56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投标投标人（全称并盖章）：</w:t>
      </w:r>
      <w:r>
        <w:rPr>
          <w:rFonts w:ascii="宋体" w:hAnsi="宋体" w:cs="宋体"/>
          <w:color w:val="000000"/>
          <w:sz w:val="24"/>
          <w:szCs w:val="24"/>
          <w:highlight w:val="none"/>
        </w:rPr>
      </w:r>
      <w:r/>
    </w:p>
    <w:p>
      <w:pPr>
        <w:pStyle w:val="1715"/>
        <w:ind w:firstLine="640"/>
        <w:jc w:val="left"/>
        <w:spacing w:line="56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投标人法定代表人或授权代表（签字或签章）：</w:t>
      </w:r>
      <w:r>
        <w:rPr>
          <w:rFonts w:ascii="宋体" w:hAnsi="宋体" w:cs="宋体"/>
          <w:color w:val="000000"/>
          <w:sz w:val="24"/>
          <w:szCs w:val="24"/>
          <w:highlight w:val="none"/>
        </w:rPr>
      </w:r>
      <w:r/>
    </w:p>
    <w:p>
      <w:pPr>
        <w:pStyle w:val="1715"/>
        <w:ind w:firstLine="640"/>
        <w:jc w:val="left"/>
        <w:spacing w:line="56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ascii="宋体" w:hAnsi="宋体" w:cs="宋体"/>
          <w:color w:val="000000"/>
          <w:sz w:val="24"/>
          <w:szCs w:val="24"/>
          <w:highlight w:val="none"/>
        </w:rPr>
      </w:r>
      <w:r/>
    </w:p>
    <w:p>
      <w:pPr>
        <w:pStyle w:val="1715"/>
        <w:jc w:val="left"/>
        <w:spacing w:line="56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715"/>
        <w:jc w:val="left"/>
        <w:spacing w:line="56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说明：</w:t>
      </w:r>
      <w:r>
        <w:rPr>
          <w:rFonts w:ascii="宋体" w:hAnsi="宋体" w:cs="宋体"/>
          <w:color w:val="000000"/>
          <w:sz w:val="24"/>
          <w:szCs w:val="24"/>
          <w:highlight w:val="none"/>
        </w:rPr>
      </w:r>
      <w:r/>
    </w:p>
    <w:p>
      <w:pPr>
        <w:pStyle w:val="1715"/>
        <w:ind w:firstLine="420"/>
        <w:jc w:val="left"/>
        <w:spacing w:line="56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1.投标人可自行选择是否提供本承诺函，若不提供本承诺函的，应按采购文件要求提供相应的证明材料。</w:t>
      </w:r>
      <w:r>
        <w:rPr>
          <w:rFonts w:ascii="宋体" w:hAnsi="宋体" w:cs="宋体"/>
          <w:color w:val="000000"/>
          <w:sz w:val="24"/>
          <w:szCs w:val="24"/>
          <w:highlight w:val="none"/>
        </w:rPr>
      </w:r>
      <w:r/>
    </w:p>
    <w:p>
      <w:pPr>
        <w:pStyle w:val="1715"/>
        <w:ind w:firstLine="420"/>
        <w:jc w:val="left"/>
        <w:spacing w:line="56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2.投标人可删减承诺事项，删减的承诺事项须按采购文件要求提供相应的证明材料。比如删去本承诺函第</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项的，则应按采购文件要求提供依法缴纳税收和社会保障资金的良好记录。</w:t>
      </w:r>
      <w:r>
        <w:rPr>
          <w:rFonts w:ascii="宋体" w:hAnsi="宋体" w:cs="宋体"/>
          <w:color w:val="000000"/>
          <w:sz w:val="24"/>
          <w:szCs w:val="24"/>
          <w:highlight w:val="none"/>
        </w:rPr>
      </w:r>
      <w:r/>
    </w:p>
    <w:p>
      <w:pPr>
        <w:pStyle w:val="1536"/>
        <w:jc w:val="center"/>
        <w:rPr>
          <w:rFonts w:ascii="宋体" w:hAnsi="宋体" w:eastAsia="宋体" w:cs="宋体"/>
          <w:color w:val="000000"/>
          <w:highlight w:val="none"/>
        </w:rPr>
        <w:outlineLvl w:val="1"/>
      </w:pPr>
      <w:r>
        <w:rPr>
          <w:rFonts w:hint="eastAsia" w:ascii="宋体" w:hAnsi="宋体" w:cs="宋体"/>
          <w:color w:val="000000"/>
          <w:highlight w:val="none"/>
        </w:rPr>
        <w:br w:type="page" w:clear="all"/>
      </w:r>
      <w:r>
        <w:rPr>
          <w:rFonts w:ascii="宋体" w:hAnsi="宋体" w:eastAsia="宋体" w:cs="宋体"/>
          <w:color w:val="000000"/>
          <w:highlight w:val="none"/>
        </w:rPr>
        <w:t xml:space="preserve">二、</w:t>
      </w:r>
      <w:r>
        <w:rPr>
          <w:rFonts w:hint="eastAsia" w:ascii="宋体" w:hAnsi="宋体" w:eastAsia="宋体" w:cs="宋体"/>
          <w:color w:val="000000"/>
          <w:highlight w:val="none"/>
        </w:rPr>
        <w:t xml:space="preserve">符合条件</w:t>
      </w:r>
      <w:r>
        <w:rPr>
          <w:rFonts w:ascii="宋体" w:hAnsi="宋体" w:eastAsia="宋体" w:cs="宋体"/>
          <w:color w:val="000000"/>
          <w:highlight w:val="none"/>
        </w:rPr>
      </w:r>
      <w:r/>
    </w:p>
    <w:p>
      <w:pPr>
        <w:pStyle w:val="1536"/>
        <w:jc w:val="center"/>
        <w:rPr>
          <w:rFonts w:ascii="宋体" w:hAnsi="宋体" w:eastAsia="宋体" w:cs="宋体"/>
          <w:color w:val="000000"/>
          <w:highlight w:val="none"/>
        </w:rPr>
        <w:outlineLvl w:val="1"/>
      </w:pPr>
      <w:r>
        <w:rPr>
          <w:rFonts w:hint="eastAsia" w:ascii="宋体" w:hAnsi="宋体" w:eastAsia="宋体" w:cs="宋体"/>
          <w:color w:val="000000"/>
          <w:highlight w:val="none"/>
        </w:rPr>
        <w:t xml:space="preserve">符合条件对应“投标人符合性审查”，格式自拟。</w:t>
      </w:r>
      <w:r>
        <w:rPr>
          <w:rFonts w:ascii="宋体" w:hAnsi="宋体" w:eastAsia="宋体" w:cs="宋体"/>
          <w:color w:val="000000"/>
          <w:highlight w:val="none"/>
        </w:rPr>
      </w:r>
      <w:r/>
    </w:p>
    <w:tbl>
      <w:tblPr>
        <w:tblW w:w="478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015"/>
        <w:gridCol w:w="1396"/>
        <w:gridCol w:w="6751"/>
      </w:tblGrid>
      <w:tr>
        <w:trPr/>
        <w:tc>
          <w:tcPr>
            <w:tcMar>
              <w:top w:w="100" w:type="dxa"/>
              <w:bottom w:w="100" w:type="dxa"/>
            </w:tcMar>
            <w:tcW w:w="579" w:type="dxa"/>
            <w:vAlign w:val="center"/>
            <w:textDirection w:val="lrTb"/>
            <w:noWrap/>
          </w:tcPr>
          <w:p>
            <w:pPr>
              <w:pStyle w:val="1627"/>
              <w:jc w:val="center"/>
              <w:rPr>
                <w:rFonts w:ascii="宋体" w:hAnsi="宋体" w:eastAsia="宋体" w:cs="宋体"/>
                <w:color w:val="000000"/>
                <w:highlight w:val="none"/>
              </w:rPr>
            </w:pPr>
            <w:r>
              <w:rPr>
                <w:rFonts w:hint="eastAsia" w:ascii="宋体" w:hAnsi="宋体" w:eastAsia="宋体" w:cs="宋体"/>
                <w:color w:val="000000"/>
                <w:highlight w:val="none"/>
              </w:rPr>
              <w:t xml:space="preserve">序号</w:t>
            </w:r>
            <w:r>
              <w:rPr>
                <w:rFonts w:ascii="宋体" w:hAnsi="宋体" w:eastAsia="宋体" w:cs="宋体"/>
                <w:color w:val="000000"/>
                <w:highlight w:val="none"/>
              </w:rPr>
            </w:r>
            <w:r/>
          </w:p>
        </w:tc>
        <w:tc>
          <w:tcPr>
            <w:tcMar>
              <w:top w:w="100" w:type="dxa"/>
              <w:bottom w:w="100" w:type="dxa"/>
            </w:tcMar>
            <w:tcW w:w="796" w:type="dxa"/>
            <w:vAlign w:val="center"/>
            <w:textDirection w:val="lrTb"/>
            <w:noWrap/>
          </w:tcPr>
          <w:p>
            <w:pPr>
              <w:pStyle w:val="1627"/>
              <w:jc w:val="center"/>
              <w:rPr>
                <w:rFonts w:ascii="宋体" w:hAnsi="宋体" w:eastAsia="宋体" w:cs="宋体"/>
                <w:color w:val="000000"/>
                <w:highlight w:val="none"/>
              </w:rPr>
            </w:pPr>
            <w:r>
              <w:rPr>
                <w:rFonts w:hint="eastAsia" w:ascii="宋体" w:hAnsi="宋体" w:eastAsia="宋体" w:cs="宋体"/>
                <w:color w:val="000000"/>
                <w:highlight w:val="none"/>
              </w:rPr>
              <w:t xml:space="preserve">审查要素</w:t>
            </w:r>
            <w:r>
              <w:rPr>
                <w:rFonts w:ascii="宋体" w:hAnsi="宋体" w:eastAsia="宋体" w:cs="宋体"/>
                <w:color w:val="000000"/>
                <w:highlight w:val="none"/>
              </w:rPr>
            </w:r>
            <w:r/>
          </w:p>
        </w:tc>
        <w:tc>
          <w:tcPr>
            <w:tcMar>
              <w:top w:w="100" w:type="dxa"/>
              <w:bottom w:w="100" w:type="dxa"/>
            </w:tcMar>
            <w:tcW w:w="3849" w:type="dxa"/>
            <w:vAlign w:val="center"/>
            <w:textDirection w:val="lrTb"/>
            <w:noWrap/>
          </w:tcPr>
          <w:p>
            <w:pPr>
              <w:pStyle w:val="1627"/>
              <w:jc w:val="center"/>
              <w:rPr>
                <w:rFonts w:ascii="宋体" w:hAnsi="宋体" w:eastAsia="宋体" w:cs="宋体"/>
                <w:color w:val="000000"/>
                <w:highlight w:val="none"/>
              </w:rPr>
            </w:pPr>
            <w:r>
              <w:rPr>
                <w:rFonts w:hint="eastAsia" w:ascii="宋体" w:hAnsi="宋体" w:eastAsia="宋体" w:cs="宋体"/>
                <w:color w:val="000000"/>
                <w:highlight w:val="none"/>
              </w:rPr>
              <w:t xml:space="preserve">审查内容</w:t>
            </w:r>
            <w:r>
              <w:rPr>
                <w:rFonts w:ascii="宋体" w:hAnsi="宋体" w:eastAsia="宋体" w:cs="宋体"/>
                <w:color w:val="000000"/>
                <w:highlight w:val="none"/>
              </w:rPr>
            </w:r>
            <w:r/>
          </w:p>
        </w:tc>
      </w:tr>
      <w:tr>
        <w:trPr/>
        <w:tc>
          <w:tcPr>
            <w:tcMar>
              <w:top w:w="100" w:type="dxa"/>
              <w:bottom w:w="100" w:type="dxa"/>
            </w:tcMar>
            <w:tcW w:w="579" w:type="dxa"/>
            <w:vAlign w:val="center"/>
            <w:textDirection w:val="lrTb"/>
            <w:noWrap/>
          </w:tcPr>
          <w:p>
            <w:pPr>
              <w:pStyle w:val="1627"/>
              <w:jc w:val="center"/>
              <w:rPr>
                <w:rFonts w:ascii="宋体" w:hAnsi="宋体" w:eastAsia="宋体" w:cs="宋体"/>
                <w:color w:val="000000"/>
                <w:highlight w:val="none"/>
              </w:rPr>
            </w:pPr>
            <w:r>
              <w:rPr>
                <w:rFonts w:hint="eastAsia" w:ascii="宋体" w:hAnsi="宋体" w:eastAsia="宋体" w:cs="宋体"/>
                <w:color w:val="000000"/>
                <w:highlight w:val="none"/>
              </w:rPr>
              <w:t xml:space="preserve">1</w:t>
            </w:r>
            <w:r>
              <w:rPr>
                <w:rFonts w:ascii="宋体" w:hAnsi="宋体" w:eastAsia="宋体" w:cs="宋体"/>
                <w:color w:val="000000"/>
                <w:highlight w:val="none"/>
              </w:rPr>
            </w:r>
            <w:r/>
          </w:p>
        </w:tc>
        <w:tc>
          <w:tcPr>
            <w:tcMar>
              <w:top w:w="100" w:type="dxa"/>
              <w:bottom w:w="100" w:type="dxa"/>
            </w:tcMar>
            <w:tcW w:w="796" w:type="dxa"/>
            <w:vAlign w:val="center"/>
            <w:textDirection w:val="lrTb"/>
            <w:noWrap/>
          </w:tcPr>
          <w:p>
            <w:pPr>
              <w:pStyle w:val="1627"/>
              <w:jc w:val="center"/>
              <w:rPr>
                <w:rFonts w:ascii="宋体" w:hAnsi="宋体" w:eastAsia="宋体" w:cs="宋体"/>
                <w:color w:val="000000"/>
                <w:highlight w:val="none"/>
              </w:rPr>
            </w:pPr>
            <w:r>
              <w:rPr>
                <w:rFonts w:hint="eastAsia" w:ascii="宋体" w:hAnsi="宋体" w:eastAsia="宋体" w:cs="宋体"/>
                <w:color w:val="000000"/>
                <w:highlight w:val="none"/>
              </w:rPr>
              <w:t xml:space="preserve">投标文件</w:t>
            </w:r>
            <w:r>
              <w:rPr>
                <w:rFonts w:ascii="宋体" w:hAnsi="宋体" w:eastAsia="宋体" w:cs="宋体"/>
                <w:color w:val="000000"/>
                <w:highlight w:val="none"/>
              </w:rPr>
            </w:r>
            <w:r/>
          </w:p>
          <w:p>
            <w:pPr>
              <w:pStyle w:val="1627"/>
              <w:jc w:val="center"/>
              <w:rPr>
                <w:rFonts w:ascii="宋体" w:hAnsi="宋体" w:eastAsia="宋体" w:cs="宋体"/>
                <w:color w:val="000000"/>
                <w:highlight w:val="none"/>
              </w:rPr>
            </w:pPr>
            <w:r>
              <w:rPr>
                <w:rFonts w:hint="eastAsia" w:ascii="宋体" w:hAnsi="宋体" w:eastAsia="宋体" w:cs="宋体"/>
                <w:color w:val="000000"/>
                <w:highlight w:val="none"/>
              </w:rPr>
              <w:t xml:space="preserve">有效性</w:t>
            </w:r>
            <w:r>
              <w:rPr>
                <w:rFonts w:ascii="宋体" w:hAnsi="宋体" w:eastAsia="宋体" w:cs="宋体"/>
                <w:color w:val="000000"/>
                <w:highlight w:val="none"/>
              </w:rPr>
            </w:r>
            <w:r/>
          </w:p>
        </w:tc>
        <w:tc>
          <w:tcPr>
            <w:tcMar>
              <w:top w:w="100" w:type="dxa"/>
              <w:bottom w:w="100" w:type="dxa"/>
            </w:tcMar>
            <w:tcW w:w="3849" w:type="dxa"/>
            <w:vAlign w:val="center"/>
            <w:textDirection w:val="lrTb"/>
            <w:noWrap/>
          </w:tcPr>
          <w:p>
            <w:pPr>
              <w:pStyle w:val="1627"/>
              <w:rPr>
                <w:rFonts w:ascii="宋体" w:hAnsi="宋体" w:eastAsia="宋体" w:cs="宋体"/>
                <w:color w:val="000000"/>
                <w:highlight w:val="none"/>
              </w:rPr>
            </w:pPr>
            <w:r>
              <w:rPr>
                <w:rFonts w:hint="eastAsia" w:ascii="宋体" w:hAnsi="宋体" w:eastAsia="宋体" w:cs="宋体"/>
                <w:color w:val="000000"/>
                <w:highlight w:val="none"/>
              </w:rPr>
              <w:t xml:space="preserve">电子投标文件的有效电子签章。投标报价。</w:t>
            </w:r>
            <w:r>
              <w:rPr>
                <w:rFonts w:ascii="宋体" w:hAnsi="宋体" w:eastAsia="宋体" w:cs="宋体"/>
                <w:color w:val="000000"/>
                <w:highlight w:val="none"/>
              </w:rPr>
            </w:r>
            <w:r/>
          </w:p>
          <w:p>
            <w:pPr>
              <w:pStyle w:val="1627"/>
              <w:rPr>
                <w:rFonts w:ascii="宋体" w:hAnsi="宋体" w:eastAsia="宋体" w:cs="宋体"/>
                <w:color w:val="000000"/>
                <w:highlight w:val="none"/>
              </w:rPr>
            </w:pPr>
            <w:r>
              <w:rPr>
                <w:rFonts w:hint="eastAsia" w:ascii="宋体" w:hAnsi="宋体" w:eastAsia="宋体" w:cs="宋体"/>
                <w:color w:val="000000"/>
                <w:highlight w:val="none"/>
              </w:rPr>
              <w:t xml:space="preserve">未发现属无效投标的其他情形。</w:t>
            </w:r>
            <w:r>
              <w:rPr>
                <w:rFonts w:ascii="宋体" w:hAnsi="宋体" w:eastAsia="宋体" w:cs="宋体"/>
                <w:color w:val="000000"/>
                <w:highlight w:val="none"/>
              </w:rPr>
            </w:r>
            <w:r/>
          </w:p>
        </w:tc>
      </w:tr>
      <w:tr>
        <w:trPr/>
        <w:tc>
          <w:tcPr>
            <w:tcMar>
              <w:top w:w="100" w:type="dxa"/>
              <w:bottom w:w="100" w:type="dxa"/>
            </w:tcMar>
            <w:tcW w:w="579" w:type="dxa"/>
            <w:vAlign w:val="center"/>
            <w:textDirection w:val="lrTb"/>
            <w:noWrap/>
          </w:tcPr>
          <w:p>
            <w:pPr>
              <w:pStyle w:val="1627"/>
              <w:jc w:val="center"/>
              <w:rPr>
                <w:rFonts w:ascii="宋体" w:hAnsi="宋体" w:eastAsia="宋体" w:cs="宋体"/>
                <w:color w:val="000000"/>
                <w:highlight w:val="none"/>
              </w:rPr>
            </w:pPr>
            <w:r>
              <w:rPr>
                <w:rFonts w:hint="eastAsia" w:ascii="宋体" w:hAnsi="宋体" w:eastAsia="宋体" w:cs="宋体"/>
                <w:color w:val="000000"/>
                <w:highlight w:val="none"/>
              </w:rPr>
              <w:t xml:space="preserve">2</w:t>
            </w:r>
            <w:r>
              <w:rPr>
                <w:rFonts w:ascii="宋体" w:hAnsi="宋体" w:eastAsia="宋体" w:cs="宋体"/>
                <w:color w:val="000000"/>
                <w:highlight w:val="none"/>
              </w:rPr>
            </w:r>
            <w:r/>
          </w:p>
        </w:tc>
        <w:tc>
          <w:tcPr>
            <w:tcMar>
              <w:top w:w="100" w:type="dxa"/>
              <w:bottom w:w="100" w:type="dxa"/>
            </w:tcMar>
            <w:tcW w:w="796" w:type="dxa"/>
            <w:vAlign w:val="center"/>
            <w:textDirection w:val="lrTb"/>
            <w:noWrap/>
          </w:tcPr>
          <w:p>
            <w:pPr>
              <w:pStyle w:val="1627"/>
              <w:jc w:val="center"/>
              <w:rPr>
                <w:rFonts w:ascii="宋体" w:hAnsi="宋体" w:eastAsia="宋体" w:cs="宋体"/>
                <w:color w:val="000000"/>
                <w:highlight w:val="none"/>
              </w:rPr>
            </w:pPr>
            <w:r>
              <w:rPr>
                <w:rFonts w:hint="eastAsia" w:ascii="宋体" w:hAnsi="宋体" w:eastAsia="宋体" w:cs="宋体"/>
                <w:color w:val="000000"/>
                <w:highlight w:val="none"/>
              </w:rPr>
              <w:t xml:space="preserve">对招标文件</w:t>
            </w:r>
            <w:r>
              <w:rPr>
                <w:rFonts w:ascii="宋体" w:hAnsi="宋体" w:eastAsia="宋体" w:cs="宋体"/>
                <w:color w:val="000000"/>
                <w:highlight w:val="none"/>
              </w:rPr>
            </w:r>
            <w:r/>
          </w:p>
          <w:p>
            <w:pPr>
              <w:pStyle w:val="1627"/>
              <w:jc w:val="center"/>
              <w:rPr>
                <w:rFonts w:ascii="宋体" w:hAnsi="宋体" w:eastAsia="宋体" w:cs="宋体"/>
                <w:color w:val="000000"/>
                <w:highlight w:val="none"/>
              </w:rPr>
            </w:pPr>
            <w:r>
              <w:rPr>
                <w:rFonts w:hint="eastAsia" w:ascii="宋体" w:hAnsi="宋体" w:eastAsia="宋体" w:cs="宋体"/>
                <w:color w:val="000000"/>
                <w:highlight w:val="none"/>
              </w:rPr>
              <w:t xml:space="preserve">响应程度</w:t>
            </w:r>
            <w:r>
              <w:rPr>
                <w:rFonts w:ascii="宋体" w:hAnsi="宋体" w:eastAsia="宋体" w:cs="宋体"/>
                <w:color w:val="000000"/>
                <w:highlight w:val="none"/>
              </w:rPr>
            </w:r>
            <w:r/>
          </w:p>
        </w:tc>
        <w:tc>
          <w:tcPr>
            <w:tcMar>
              <w:top w:w="100" w:type="dxa"/>
              <w:bottom w:w="100" w:type="dxa"/>
            </w:tcMar>
            <w:tcW w:w="3849" w:type="dxa"/>
            <w:vAlign w:val="center"/>
            <w:textDirection w:val="lrTb"/>
            <w:noWrap/>
          </w:tcPr>
          <w:p>
            <w:pPr>
              <w:pStyle w:val="1627"/>
              <w:rPr>
                <w:rFonts w:ascii="宋体" w:hAnsi="宋体" w:eastAsia="宋体" w:cs="宋体"/>
                <w:color w:val="000000"/>
                <w:highlight w:val="none"/>
              </w:rPr>
            </w:pPr>
            <w:r>
              <w:rPr>
                <w:rFonts w:hint="eastAsia" w:ascii="宋体" w:hAnsi="宋体" w:eastAsia="宋体" w:cs="宋体"/>
                <w:color w:val="000000"/>
                <w:highlight w:val="none"/>
              </w:rPr>
              <w:t xml:space="preserve">审查投标文件与招标文件要求的主要条款、条件和技术规格是否相符，是否存在重大偏离或保留。</w:t>
            </w:r>
            <w:r>
              <w:rPr>
                <w:rFonts w:ascii="宋体" w:hAnsi="宋体" w:eastAsia="宋体" w:cs="宋体"/>
                <w:color w:val="000000"/>
                <w:highlight w:val="none"/>
              </w:rPr>
            </w:r>
            <w:r/>
          </w:p>
        </w:tc>
      </w:tr>
    </w:tbl>
    <w:p>
      <w:pPr>
        <w:pStyle w:val="1715"/>
        <w:ind w:firstLine="422"/>
        <w:jc w:val="left"/>
        <w:spacing w:line="560" w:lineRule="exact"/>
        <w:shd w:val="clear" w:color="auto" w:fill="ffffff"/>
        <w:widowControl/>
        <w:rPr>
          <w:rFonts w:ascii="宋体" w:hAnsi="宋体"/>
          <w:b/>
          <w:color w:val="000000"/>
          <w:sz w:val="24"/>
          <w:szCs w:val="24"/>
          <w:highlight w:val="none"/>
        </w:rPr>
      </w:pPr>
      <w:r>
        <w:rPr>
          <w:rFonts w:ascii="宋体" w:hAnsi="宋体"/>
          <w:b/>
          <w:color w:val="000000"/>
          <w:sz w:val="24"/>
          <w:szCs w:val="24"/>
          <w:highlight w:val="none"/>
        </w:rPr>
      </w:r>
      <w:r/>
    </w:p>
    <w:p>
      <w:pPr>
        <w:pStyle w:val="1536"/>
        <w:jc w:val="center"/>
        <w:rPr>
          <w:color w:val="000000"/>
          <w:highlight w:val="none"/>
        </w:rPr>
        <w:outlineLvl w:val="1"/>
      </w:pPr>
      <w:r>
        <w:rPr>
          <w:color w:val="000000"/>
          <w:highlight w:val="none"/>
        </w:rPr>
        <w:br w:type="page" w:clear="all"/>
      </w:r>
      <w:bookmarkStart w:id="194" w:name="_Toc9642"/>
      <w:r/>
      <w:bookmarkStart w:id="195" w:name="_Toc7258"/>
      <w:r/>
      <w:bookmarkStart w:id="196" w:name="_Toc256000080"/>
      <w:r>
        <w:rPr>
          <w:rFonts w:hint="eastAsia" w:ascii="宋体" w:hAnsi="宋体" w:eastAsia="宋体" w:cs="宋体"/>
          <w:color w:val="000000"/>
          <w:highlight w:val="none"/>
        </w:rPr>
        <w:t xml:space="preserve">三</w:t>
      </w:r>
      <w:r>
        <w:rPr>
          <w:rFonts w:ascii="宋体" w:hAnsi="宋体" w:eastAsia="宋体" w:cs="宋体"/>
          <w:color w:val="000000"/>
          <w:highlight w:val="none"/>
        </w:rPr>
        <w:t xml:space="preserve">、技术部分</w:t>
      </w:r>
      <w:bookmarkEnd w:id="194"/>
      <w:r/>
      <w:bookmarkEnd w:id="195"/>
      <w:r/>
      <w:bookmarkEnd w:id="196"/>
      <w:r>
        <w:rPr>
          <w:color w:val="000000"/>
          <w:highlight w:val="none"/>
        </w:rPr>
      </w:r>
      <w:r/>
    </w:p>
    <w:p>
      <w:pPr>
        <w:pStyle w:val="1625"/>
        <w:jc w:val="center"/>
        <w:rPr>
          <w:color w:val="000000"/>
          <w:highlight w:val="none"/>
        </w:rPr>
        <w:outlineLvl w:val="2"/>
      </w:pPr>
      <w:r>
        <w:rPr>
          <w:color w:val="000000"/>
          <w:highlight w:val="none"/>
        </w:rPr>
        <w:br w:type="page" w:clear="all"/>
      </w:r>
      <w:bookmarkStart w:id="197" w:name="_Toc256000081"/>
      <w:r>
        <w:rPr>
          <w:rFonts w:ascii="宋体" w:hAnsi="宋体" w:eastAsia="宋体" w:cs="宋体"/>
          <w:color w:val="000000"/>
          <w:highlight w:val="none"/>
        </w:rPr>
        <w:t xml:space="preserve">(一)技术方案</w:t>
      </w:r>
      <w:bookmarkEnd w:id="197"/>
      <w:r>
        <w:rPr>
          <w:color w:val="000000"/>
          <w:highlight w:val="none"/>
        </w:rPr>
      </w:r>
      <w:r/>
    </w:p>
    <w:p>
      <w:pPr>
        <w:pStyle w:val="1131"/>
        <w:jc w:val="center"/>
        <w:spacing w:line="360" w:lineRule="auto"/>
        <w:rPr>
          <w:rFonts w:cs="宋体"/>
          <w:color w:val="000000"/>
          <w:sz w:val="24"/>
          <w:szCs w:val="24"/>
          <w:highlight w:val="none"/>
        </w:rPr>
      </w:pPr>
      <w:r>
        <w:rPr>
          <w:rFonts w:hint="eastAsia" w:cs="宋体"/>
          <w:color w:val="000000"/>
          <w:sz w:val="24"/>
          <w:szCs w:val="24"/>
          <w:highlight w:val="none"/>
        </w:rPr>
        <w:t xml:space="preserve">对应评分标准“技术评价”，依次详述，格式自拟。</w:t>
      </w:r>
      <w:r>
        <w:rPr>
          <w:rFonts w:cs="宋体"/>
          <w:color w:val="000000"/>
          <w:sz w:val="24"/>
          <w:szCs w:val="24"/>
          <w:highlight w:val="none"/>
        </w:rPr>
      </w:r>
      <w:r/>
    </w:p>
    <w:p>
      <w:pPr>
        <w:pStyle w:val="1717"/>
        <w:jc w:val="center"/>
        <w:rPr>
          <w:color w:val="000000"/>
          <w:highlight w:val="none"/>
        </w:rPr>
        <w:outlineLvl w:val="2"/>
      </w:pPr>
      <w:r>
        <w:rPr>
          <w:color w:val="000000"/>
          <w:highlight w:val="none"/>
        </w:rPr>
        <w:br w:type="page" w:clear="all"/>
      </w:r>
      <w:bookmarkStart w:id="198" w:name="_Toc256000082"/>
      <w:r>
        <w:rPr>
          <w:rFonts w:ascii="宋体" w:hAnsi="宋体" w:eastAsia="宋体" w:cs="宋体"/>
          <w:color w:val="000000"/>
          <w:highlight w:val="none"/>
        </w:rPr>
        <w:t xml:space="preserve">(二)技术响应及偏离表</w:t>
      </w:r>
      <w:bookmarkEnd w:id="198"/>
      <w:r>
        <w:rPr>
          <w:color w:val="000000"/>
          <w:highlight w:val="none"/>
        </w:rPr>
      </w:r>
      <w:r/>
    </w:p>
    <w:p>
      <w:pPr>
        <w:pStyle w:val="1154"/>
        <w:ind w:firstLine="0"/>
        <w:jc w:val="center"/>
        <w:spacing w:before="260" w:after="260"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技术要求响应及偏离表</w:t>
      </w:r>
      <w:r>
        <w:rPr>
          <w:rFonts w:ascii="宋体" w:hAnsi="宋体"/>
          <w:b/>
          <w:bCs/>
          <w:color w:val="000000"/>
          <w:sz w:val="24"/>
          <w:szCs w:val="24"/>
          <w:highlight w:val="none"/>
        </w:rPr>
      </w:r>
      <w:r/>
    </w:p>
    <w:p>
      <w:pPr>
        <w:pStyle w:val="1154"/>
        <w:ind w:firstLine="0"/>
        <w:jc w:val="center"/>
        <w:spacing w:before="260" w:after="260" w:line="360" w:lineRule="auto"/>
        <w:rPr>
          <w:rFonts w:ascii="宋体" w:hAnsi="宋体"/>
          <w:b/>
          <w:color w:val="000000"/>
          <w:sz w:val="24"/>
          <w:szCs w:val="24"/>
          <w:highlight w:val="none"/>
        </w:rPr>
      </w:pPr>
      <w:r>
        <w:rPr>
          <w:rFonts w:hint="eastAsia" w:ascii="宋体" w:hAnsi="宋体"/>
          <w:b/>
          <w:bCs/>
          <w:color w:val="000000"/>
          <w:sz w:val="24"/>
          <w:szCs w:val="24"/>
          <w:highlight w:val="none"/>
        </w:rPr>
        <w:t xml:space="preserve">（一）实质性要求参数响应偏离表</w:t>
      </w:r>
      <w:r>
        <w:rPr>
          <w:rFonts w:ascii="宋体" w:hAnsi="宋体"/>
          <w:b/>
          <w:color w:val="000000"/>
          <w:sz w:val="24"/>
          <w:szCs w:val="24"/>
          <w:highlight w:val="none"/>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928"/>
        <w:gridCol w:w="831"/>
        <w:gridCol w:w="1023"/>
        <w:gridCol w:w="984"/>
        <w:gridCol w:w="1406"/>
        <w:gridCol w:w="1526"/>
        <w:gridCol w:w="2149"/>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tcPr>
          <w:p>
            <w:pPr>
              <w:pStyle w:val="1718"/>
              <w:jc w:val="center"/>
              <w:spacing w:before="40" w:after="40"/>
              <w:rPr>
                <w:rFonts w:ascii="宋体" w:hAnsi="宋体"/>
                <w:b/>
                <w:color w:val="000000"/>
                <w:sz w:val="24"/>
                <w:highlight w:val="none"/>
              </w:rPr>
            </w:pPr>
            <w:r>
              <w:rPr>
                <w:rFonts w:hint="eastAsia" w:ascii="宋体" w:hAnsi="宋体"/>
                <w:b/>
                <w:color w:val="000000"/>
                <w:sz w:val="24"/>
                <w:highlight w:val="none"/>
              </w:rPr>
              <w:br w:type="page" w:clear="all"/>
            </w:r>
            <w:r>
              <w:rPr>
                <w:rFonts w:hint="eastAsia" w:ascii="宋体" w:hAnsi="宋体"/>
                <w:b/>
                <w:color w:val="000000"/>
                <w:sz w:val="24"/>
                <w:highlight w:val="none"/>
              </w:rPr>
              <w:t xml:space="preserve">序号</w:t>
            </w:r>
            <w:r>
              <w:rPr>
                <w:rFonts w:ascii="宋体" w:hAnsi="宋体"/>
                <w:b/>
                <w:color w:val="000000"/>
                <w:sz w:val="24"/>
                <w:highlight w:val="none"/>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tcPr>
          <w:p>
            <w:pPr>
              <w:pStyle w:val="1718"/>
              <w:jc w:val="center"/>
              <w:spacing w:before="40" w:after="40"/>
              <w:rPr>
                <w:rFonts w:ascii="宋体" w:hAnsi="宋体"/>
                <w:b/>
                <w:color w:val="000000"/>
                <w:sz w:val="24"/>
                <w:highlight w:val="none"/>
              </w:rPr>
            </w:pPr>
            <w:r>
              <w:rPr>
                <w:rFonts w:hint="eastAsia" w:ascii="宋体" w:hAnsi="宋体"/>
                <w:b/>
                <w:color w:val="000000"/>
                <w:sz w:val="24"/>
                <w:highlight w:val="none"/>
              </w:rPr>
              <w:t xml:space="preserve">标的名称</w:t>
            </w:r>
            <w:r>
              <w:rPr>
                <w:rFonts w:ascii="宋体" w:hAnsi="宋体"/>
                <w:b/>
                <w:color w:val="000000"/>
                <w:sz w:val="24"/>
                <w:highlight w:val="none"/>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tcPr>
          <w:p>
            <w:pPr>
              <w:pStyle w:val="1718"/>
              <w:jc w:val="center"/>
              <w:spacing w:before="40" w:after="40"/>
              <w:rPr>
                <w:rFonts w:ascii="宋体" w:hAnsi="宋体"/>
                <w:b/>
                <w:color w:val="000000"/>
                <w:sz w:val="24"/>
                <w:highlight w:val="none"/>
              </w:rPr>
            </w:pPr>
            <w:r>
              <w:rPr>
                <w:rFonts w:hint="eastAsia" w:ascii="宋体" w:hAnsi="宋体"/>
                <w:b/>
                <w:color w:val="000000"/>
                <w:sz w:val="24"/>
                <w:highlight w:val="none"/>
              </w:rPr>
              <w:t xml:space="preserve">响应产品名称及型号</w:t>
            </w:r>
            <w:r>
              <w:rPr>
                <w:rFonts w:ascii="宋体" w:hAnsi="宋体"/>
                <w:b/>
                <w:color w:val="000000"/>
                <w:sz w:val="24"/>
                <w:highlight w:val="none"/>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tcPr>
          <w:p>
            <w:pPr>
              <w:pStyle w:val="1718"/>
              <w:jc w:val="center"/>
              <w:spacing w:before="40" w:after="40"/>
              <w:rPr>
                <w:rFonts w:ascii="宋体" w:hAnsi="宋体"/>
                <w:b/>
                <w:color w:val="000000"/>
                <w:sz w:val="24"/>
                <w:highlight w:val="none"/>
              </w:rPr>
            </w:pPr>
            <w:r>
              <w:rPr>
                <w:rFonts w:hint="eastAsia" w:ascii="宋体" w:hAnsi="宋体"/>
                <w:b/>
                <w:color w:val="000000"/>
                <w:sz w:val="24"/>
                <w:highlight w:val="none"/>
              </w:rPr>
              <w:t xml:space="preserve">文件要求参数</w:t>
            </w:r>
            <w:r>
              <w:rPr>
                <w:rFonts w:ascii="宋体" w:hAnsi="宋体"/>
                <w:b/>
                <w:color w:val="000000"/>
                <w:sz w:val="24"/>
                <w:highlight w:val="none"/>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tcPr>
          <w:p>
            <w:pPr>
              <w:pStyle w:val="1718"/>
              <w:jc w:val="center"/>
              <w:spacing w:before="40" w:after="40"/>
              <w:rPr>
                <w:rFonts w:ascii="宋体" w:hAnsi="宋体"/>
                <w:b/>
                <w:color w:val="000000"/>
                <w:sz w:val="24"/>
                <w:highlight w:val="none"/>
              </w:rPr>
            </w:pPr>
            <w:r>
              <w:rPr>
                <w:rFonts w:hint="eastAsia" w:ascii="宋体" w:hAnsi="宋体"/>
                <w:b/>
                <w:color w:val="000000"/>
                <w:sz w:val="24"/>
                <w:highlight w:val="none"/>
              </w:rPr>
              <w:t xml:space="preserve">响应参数</w:t>
            </w:r>
            <w:r>
              <w:rPr>
                <w:rFonts w:ascii="宋体" w:hAnsi="宋体"/>
                <w:b/>
                <w:color w:val="000000"/>
                <w:sz w:val="24"/>
                <w:highlight w:val="none"/>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tcPr>
          <w:p>
            <w:pPr>
              <w:pStyle w:val="1718"/>
              <w:jc w:val="center"/>
              <w:spacing w:before="40" w:after="40"/>
              <w:rPr>
                <w:rFonts w:ascii="宋体" w:hAnsi="宋体"/>
                <w:b/>
                <w:color w:val="000000"/>
                <w:sz w:val="24"/>
                <w:highlight w:val="none"/>
              </w:rPr>
            </w:pPr>
            <w:r>
              <w:rPr>
                <w:rFonts w:hint="eastAsia" w:ascii="宋体" w:hAnsi="宋体"/>
                <w:b/>
                <w:color w:val="000000"/>
                <w:sz w:val="24"/>
                <w:highlight w:val="none"/>
              </w:rPr>
              <w:t xml:space="preserve">偏离情况（正偏离/无偏离/负偏离）</w:t>
            </w:r>
            <w:r>
              <w:rPr>
                <w:rFonts w:ascii="宋体" w:hAnsi="宋体"/>
                <w:b/>
                <w:color w:val="000000"/>
                <w:sz w:val="24"/>
                <w:highlight w:val="none"/>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tcPr>
          <w:p>
            <w:pPr>
              <w:pStyle w:val="1718"/>
              <w:jc w:val="center"/>
              <w:spacing w:before="40" w:after="40"/>
              <w:rPr>
                <w:rFonts w:ascii="宋体" w:hAnsi="宋体"/>
                <w:b/>
                <w:color w:val="000000"/>
                <w:sz w:val="24"/>
                <w:highlight w:val="none"/>
              </w:rPr>
            </w:pPr>
            <w:r>
              <w:rPr>
                <w:rFonts w:hint="eastAsia" w:ascii="宋体" w:hAnsi="宋体"/>
                <w:b/>
                <w:color w:val="000000"/>
                <w:sz w:val="24"/>
                <w:highlight w:val="none"/>
              </w:rPr>
              <w:t xml:space="preserve">备注（证明材料位置）</w:t>
            </w:r>
            <w:r>
              <w:rPr>
                <w:rFonts w:ascii="宋体" w:hAnsi="宋体"/>
                <w:b/>
                <w:color w:val="000000"/>
                <w:sz w:val="24"/>
                <w:highlight w:val="none"/>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tcPr>
          <w:p>
            <w:pPr>
              <w:pStyle w:val="1718"/>
              <w:jc w:val="center"/>
              <w:spacing w:line="360" w:lineRule="auto"/>
              <w:rPr>
                <w:rFonts w:ascii="宋体" w:hAnsi="宋体" w:cs="黑体"/>
                <w:color w:val="000000"/>
                <w:sz w:val="24"/>
                <w:highlight w:val="none"/>
              </w:rPr>
            </w:pPr>
            <w:r>
              <w:rPr>
                <w:rFonts w:hint="eastAsia" w:ascii="宋体" w:hAnsi="宋体"/>
                <w:color w:val="000000"/>
                <w:sz w:val="24"/>
                <w:highlight w:val="none"/>
              </w:rPr>
              <w:t xml:space="preserve">1</w:t>
            </w:r>
            <w:r>
              <w:rPr>
                <w:rFonts w:ascii="宋体" w:hAnsi="宋体" w:cs="黑体"/>
                <w:color w:val="000000"/>
                <w:sz w:val="24"/>
                <w:highlight w:val="none"/>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r>
      <w:tr>
        <w:trP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tcPr>
          <w:p>
            <w:pPr>
              <w:pStyle w:val="1718"/>
              <w:jc w:val="left"/>
              <w:widowControl/>
              <w:rPr>
                <w:rFonts w:ascii="宋体" w:hAnsi="宋体" w:cs="黑体"/>
                <w:color w:val="000000"/>
                <w:sz w:val="24"/>
                <w:highlight w:val="none"/>
              </w:rPr>
            </w:pPr>
            <w:r>
              <w:rPr>
                <w:rFonts w:ascii="宋体" w:hAnsi="宋体" w:cs="黑体"/>
                <w:color w:val="000000"/>
                <w:sz w:val="24"/>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tcPr>
          <w:p>
            <w:pPr>
              <w:pStyle w:val="1718"/>
              <w:jc w:val="left"/>
              <w:widowControl/>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r>
      <w:tr>
        <w:trP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tcPr>
          <w:p>
            <w:pPr>
              <w:pStyle w:val="1718"/>
              <w:jc w:val="left"/>
              <w:widowControl/>
              <w:rPr>
                <w:rFonts w:ascii="宋体" w:hAnsi="宋体" w:cs="黑体"/>
                <w:color w:val="000000"/>
                <w:sz w:val="24"/>
                <w:highlight w:val="none"/>
              </w:rPr>
            </w:pPr>
            <w:r>
              <w:rPr>
                <w:rFonts w:ascii="宋体" w:hAnsi="宋体" w:cs="黑体"/>
                <w:color w:val="000000"/>
                <w:sz w:val="24"/>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tcPr>
          <w:p>
            <w:pPr>
              <w:pStyle w:val="1718"/>
              <w:jc w:val="left"/>
              <w:widowControl/>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tcPr>
          <w:p>
            <w:pPr>
              <w:pStyle w:val="1718"/>
              <w:jc w:val="center"/>
              <w:spacing w:line="360" w:lineRule="auto"/>
              <w:rPr>
                <w:rFonts w:ascii="宋体" w:hAnsi="宋体" w:cs="黑体"/>
                <w:color w:val="000000"/>
                <w:sz w:val="24"/>
                <w:highlight w:val="none"/>
              </w:rPr>
            </w:pPr>
            <w:r>
              <w:rPr>
                <w:rFonts w:hint="eastAsia" w:ascii="宋体" w:hAnsi="宋体"/>
                <w:color w:val="000000"/>
                <w:sz w:val="24"/>
                <w:highlight w:val="none"/>
              </w:rPr>
              <w:t xml:space="preserve">2</w:t>
            </w:r>
            <w:r>
              <w:rPr>
                <w:rFonts w:ascii="宋体" w:hAnsi="宋体" w:cs="黑体"/>
                <w:color w:val="000000"/>
                <w:sz w:val="24"/>
                <w:highlight w:val="none"/>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r>
      <w:tr>
        <w:trP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tcPr>
          <w:p>
            <w:pPr>
              <w:pStyle w:val="1718"/>
              <w:jc w:val="left"/>
              <w:widowControl/>
              <w:rPr>
                <w:rFonts w:ascii="宋体" w:hAnsi="宋体" w:cs="黑体"/>
                <w:color w:val="000000"/>
                <w:sz w:val="24"/>
                <w:highlight w:val="none"/>
              </w:rPr>
            </w:pPr>
            <w:r>
              <w:rPr>
                <w:rFonts w:ascii="宋体" w:hAnsi="宋体" w:cs="黑体"/>
                <w:color w:val="000000"/>
                <w:sz w:val="24"/>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tcPr>
          <w:p>
            <w:pPr>
              <w:pStyle w:val="1718"/>
              <w:jc w:val="left"/>
              <w:widowControl/>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r>
      <w:tr>
        <w:trP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tcPr>
          <w:p>
            <w:pPr>
              <w:pStyle w:val="1718"/>
              <w:jc w:val="left"/>
              <w:widowControl/>
              <w:rPr>
                <w:rFonts w:ascii="宋体" w:hAnsi="宋体" w:cs="黑体"/>
                <w:color w:val="000000"/>
                <w:sz w:val="24"/>
                <w:highlight w:val="none"/>
              </w:rPr>
            </w:pPr>
            <w:r>
              <w:rPr>
                <w:rFonts w:ascii="宋体" w:hAnsi="宋体" w:cs="黑体"/>
                <w:color w:val="000000"/>
                <w:sz w:val="24"/>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tcPr>
          <w:p>
            <w:pPr>
              <w:pStyle w:val="1718"/>
              <w:jc w:val="left"/>
              <w:widowControl/>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tcPr>
          <w:p>
            <w:pPr>
              <w:pStyle w:val="1718"/>
              <w:jc w:val="center"/>
              <w:spacing w:line="360" w:lineRule="auto"/>
              <w:rPr>
                <w:rFonts w:ascii="宋体" w:hAnsi="宋体" w:cs="黑体"/>
                <w:color w:val="000000"/>
                <w:sz w:val="24"/>
                <w:highlight w:val="none"/>
              </w:rPr>
            </w:pPr>
            <w:r>
              <w:rPr>
                <w:rFonts w:hint="eastAsia" w:ascii="宋体" w:hAnsi="宋体"/>
                <w:color w:val="000000"/>
                <w:sz w:val="24"/>
                <w:highlight w:val="none"/>
              </w:rPr>
              <w:t xml:space="preserve">……</w:t>
            </w:r>
            <w:r>
              <w:rPr>
                <w:rFonts w:ascii="宋体" w:hAnsi="宋体" w:cs="黑体"/>
                <w:color w:val="000000"/>
                <w:sz w:val="24"/>
                <w:highlight w:val="none"/>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r>
      <w:tr>
        <w:trP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tcPr>
          <w:p>
            <w:pPr>
              <w:pStyle w:val="1718"/>
              <w:jc w:val="left"/>
              <w:widowControl/>
              <w:rPr>
                <w:rFonts w:ascii="宋体" w:hAnsi="宋体" w:cs="黑体"/>
                <w:color w:val="000000"/>
                <w:sz w:val="24"/>
                <w:highlight w:val="none"/>
              </w:rPr>
            </w:pPr>
            <w:r>
              <w:rPr>
                <w:rFonts w:ascii="宋体" w:hAnsi="宋体" w:cs="黑体"/>
                <w:color w:val="000000"/>
                <w:sz w:val="24"/>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tcPr>
          <w:p>
            <w:pPr>
              <w:pStyle w:val="1718"/>
              <w:jc w:val="left"/>
              <w:widowControl/>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r>
      <w:tr>
        <w:trP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tcPr>
          <w:p>
            <w:pPr>
              <w:pStyle w:val="1718"/>
              <w:jc w:val="left"/>
              <w:widowControl/>
              <w:rPr>
                <w:rFonts w:ascii="宋体" w:hAnsi="宋体" w:cs="黑体"/>
                <w:color w:val="000000"/>
                <w:sz w:val="24"/>
                <w:highlight w:val="none"/>
              </w:rPr>
            </w:pPr>
            <w:r>
              <w:rPr>
                <w:rFonts w:ascii="宋体" w:hAnsi="宋体" w:cs="黑体"/>
                <w:color w:val="000000"/>
                <w:sz w:val="24"/>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tcPr>
          <w:p>
            <w:pPr>
              <w:pStyle w:val="1718"/>
              <w:jc w:val="left"/>
              <w:widowControl/>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r>
    </w:tbl>
    <w:p>
      <w:pPr>
        <w:pStyle w:val="1718"/>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注：1.按实际如实填写偏离表，如果虚假响应或简单复制招标文件提供的技术要求，将可能被视为无效的响应。</w:t>
      </w:r>
      <w:r>
        <w:rPr>
          <w:rFonts w:ascii="宋体" w:hAnsi="宋体"/>
          <w:color w:val="000000"/>
          <w:sz w:val="24"/>
          <w:highlight w:val="none"/>
          <w:u w:val="single"/>
        </w:rPr>
      </w:r>
      <w:r/>
    </w:p>
    <w:p>
      <w:pPr>
        <w:pStyle w:val="1718"/>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2.该表不能作为投标产品的技术文件，投标人应在本栏目提供产品技术证明文件。</w:t>
      </w:r>
      <w:r>
        <w:rPr>
          <w:rFonts w:ascii="宋体" w:hAnsi="宋体"/>
          <w:color w:val="000000"/>
          <w:sz w:val="24"/>
          <w:highlight w:val="none"/>
          <w:u w:val="single"/>
        </w:rPr>
      </w:r>
      <w:r/>
    </w:p>
    <w:p>
      <w:pPr>
        <w:pStyle w:val="1718"/>
        <w:ind w:firstLine="482"/>
        <w:jc w:val="center"/>
        <w:spacing w:line="360" w:lineRule="auto"/>
        <w:rPr>
          <w:rFonts w:ascii="宋体" w:hAnsi="宋体"/>
          <w:b/>
          <w:bCs/>
          <w:color w:val="000000"/>
          <w:sz w:val="24"/>
          <w:highlight w:val="none"/>
        </w:rPr>
      </w:pPr>
      <w:r>
        <w:rPr>
          <w:rFonts w:ascii="宋体" w:hAnsi="宋体"/>
          <w:b/>
          <w:bCs/>
          <w:color w:val="000000"/>
          <w:sz w:val="24"/>
          <w:highlight w:val="none"/>
        </w:rPr>
        <w:br w:type="page" w:clear="all"/>
      </w:r>
      <w:r>
        <w:rPr>
          <w:rFonts w:hint="eastAsia" w:ascii="宋体" w:hAnsi="宋体"/>
          <w:b/>
          <w:bCs/>
          <w:color w:val="000000"/>
          <w:sz w:val="24"/>
          <w:highlight w:val="none"/>
        </w:rPr>
        <w:t xml:space="preserve">（二）重要要求参数响应偏离表</w:t>
      </w:r>
      <w:r>
        <w:rPr>
          <w:rFonts w:ascii="宋体" w:hAnsi="宋体"/>
          <w:b/>
          <w:bCs/>
          <w:color w:val="000000"/>
          <w:sz w:val="24"/>
          <w:highlight w:val="none"/>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928"/>
        <w:gridCol w:w="831"/>
        <w:gridCol w:w="1023"/>
        <w:gridCol w:w="984"/>
        <w:gridCol w:w="1406"/>
        <w:gridCol w:w="1526"/>
        <w:gridCol w:w="2149"/>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tcPr>
          <w:p>
            <w:pPr>
              <w:pStyle w:val="1718"/>
              <w:jc w:val="center"/>
              <w:spacing w:before="40" w:after="40" w:line="276" w:lineRule="auto"/>
              <w:rPr>
                <w:rFonts w:ascii="宋体" w:hAnsi="宋体"/>
                <w:b/>
                <w:color w:val="000000"/>
                <w:sz w:val="24"/>
                <w:highlight w:val="none"/>
              </w:rPr>
            </w:pPr>
            <w:r>
              <w:rPr>
                <w:rFonts w:hint="eastAsia" w:ascii="宋体" w:hAnsi="宋体"/>
                <w:b/>
                <w:color w:val="000000"/>
                <w:sz w:val="24"/>
                <w:highlight w:val="none"/>
              </w:rPr>
              <w:br w:type="page" w:clear="all"/>
            </w:r>
            <w:r>
              <w:rPr>
                <w:rFonts w:hint="eastAsia" w:ascii="宋体" w:hAnsi="宋体"/>
                <w:b/>
                <w:color w:val="000000"/>
                <w:sz w:val="24"/>
                <w:highlight w:val="none"/>
              </w:rPr>
              <w:t xml:space="preserve">序号</w:t>
            </w:r>
            <w:r>
              <w:rPr>
                <w:rFonts w:ascii="宋体" w:hAnsi="宋体"/>
                <w:b/>
                <w:color w:val="000000"/>
                <w:sz w:val="24"/>
                <w:highlight w:val="none"/>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tcPr>
          <w:p>
            <w:pPr>
              <w:pStyle w:val="1718"/>
              <w:jc w:val="center"/>
              <w:spacing w:before="40" w:after="40" w:line="276" w:lineRule="auto"/>
              <w:rPr>
                <w:rFonts w:ascii="宋体" w:hAnsi="宋体"/>
                <w:b/>
                <w:color w:val="000000"/>
                <w:sz w:val="24"/>
                <w:highlight w:val="none"/>
              </w:rPr>
            </w:pPr>
            <w:r>
              <w:rPr>
                <w:rFonts w:hint="eastAsia" w:ascii="宋体" w:hAnsi="宋体"/>
                <w:b/>
                <w:color w:val="000000"/>
                <w:sz w:val="24"/>
                <w:highlight w:val="none"/>
              </w:rPr>
              <w:t xml:space="preserve">标的名称</w:t>
            </w:r>
            <w:r>
              <w:rPr>
                <w:rFonts w:ascii="宋体" w:hAnsi="宋体"/>
                <w:b/>
                <w:color w:val="000000"/>
                <w:sz w:val="24"/>
                <w:highlight w:val="none"/>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tcPr>
          <w:p>
            <w:pPr>
              <w:pStyle w:val="1718"/>
              <w:jc w:val="center"/>
              <w:spacing w:before="40" w:after="40" w:line="276" w:lineRule="auto"/>
              <w:rPr>
                <w:rFonts w:ascii="宋体" w:hAnsi="宋体"/>
                <w:b/>
                <w:color w:val="000000"/>
                <w:sz w:val="24"/>
                <w:highlight w:val="none"/>
              </w:rPr>
            </w:pPr>
            <w:r>
              <w:rPr>
                <w:rFonts w:hint="eastAsia" w:ascii="宋体" w:hAnsi="宋体"/>
                <w:b/>
                <w:color w:val="000000"/>
                <w:sz w:val="24"/>
                <w:highlight w:val="none"/>
              </w:rPr>
              <w:t xml:space="preserve">响应产品名称及型号</w:t>
            </w:r>
            <w:r>
              <w:rPr>
                <w:rFonts w:ascii="宋体" w:hAnsi="宋体"/>
                <w:b/>
                <w:color w:val="000000"/>
                <w:sz w:val="24"/>
                <w:highlight w:val="none"/>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tcPr>
          <w:p>
            <w:pPr>
              <w:pStyle w:val="1718"/>
              <w:jc w:val="center"/>
              <w:spacing w:before="40" w:after="40" w:line="276" w:lineRule="auto"/>
              <w:rPr>
                <w:rFonts w:ascii="宋体" w:hAnsi="宋体"/>
                <w:b/>
                <w:color w:val="000000"/>
                <w:sz w:val="24"/>
                <w:highlight w:val="none"/>
              </w:rPr>
            </w:pPr>
            <w:r>
              <w:rPr>
                <w:rFonts w:hint="eastAsia" w:ascii="宋体" w:hAnsi="宋体"/>
                <w:b/>
                <w:color w:val="000000"/>
                <w:sz w:val="24"/>
                <w:highlight w:val="none"/>
              </w:rPr>
              <w:t xml:space="preserve">文件要求参数</w:t>
            </w:r>
            <w:r>
              <w:rPr>
                <w:rFonts w:ascii="宋体" w:hAnsi="宋体"/>
                <w:b/>
                <w:color w:val="000000"/>
                <w:sz w:val="24"/>
                <w:highlight w:val="none"/>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tcPr>
          <w:p>
            <w:pPr>
              <w:pStyle w:val="1718"/>
              <w:jc w:val="center"/>
              <w:spacing w:before="40" w:after="40" w:line="276" w:lineRule="auto"/>
              <w:rPr>
                <w:rFonts w:ascii="宋体" w:hAnsi="宋体"/>
                <w:b/>
                <w:color w:val="000000"/>
                <w:sz w:val="24"/>
                <w:highlight w:val="none"/>
              </w:rPr>
            </w:pPr>
            <w:r>
              <w:rPr>
                <w:rFonts w:hint="eastAsia" w:ascii="宋体" w:hAnsi="宋体"/>
                <w:b/>
                <w:color w:val="000000"/>
                <w:sz w:val="24"/>
                <w:highlight w:val="none"/>
              </w:rPr>
              <w:t xml:space="preserve">响应参数</w:t>
            </w:r>
            <w:r>
              <w:rPr>
                <w:rFonts w:ascii="宋体" w:hAnsi="宋体"/>
                <w:b/>
                <w:color w:val="000000"/>
                <w:sz w:val="24"/>
                <w:highlight w:val="none"/>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tcPr>
          <w:p>
            <w:pPr>
              <w:pStyle w:val="1718"/>
              <w:jc w:val="center"/>
              <w:spacing w:before="40" w:after="40" w:line="276" w:lineRule="auto"/>
              <w:rPr>
                <w:rFonts w:ascii="宋体" w:hAnsi="宋体"/>
                <w:b/>
                <w:color w:val="000000"/>
                <w:sz w:val="24"/>
                <w:highlight w:val="none"/>
              </w:rPr>
            </w:pPr>
            <w:r>
              <w:rPr>
                <w:rFonts w:hint="eastAsia" w:ascii="宋体" w:hAnsi="宋体"/>
                <w:b/>
                <w:color w:val="000000"/>
                <w:sz w:val="24"/>
                <w:highlight w:val="none"/>
              </w:rPr>
              <w:t xml:space="preserve">偏离情况（正偏离/无偏离/负偏离）</w:t>
            </w:r>
            <w:r>
              <w:rPr>
                <w:rFonts w:ascii="宋体" w:hAnsi="宋体"/>
                <w:b/>
                <w:color w:val="000000"/>
                <w:sz w:val="24"/>
                <w:highlight w:val="none"/>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tcPr>
          <w:p>
            <w:pPr>
              <w:pStyle w:val="1718"/>
              <w:jc w:val="center"/>
              <w:spacing w:before="40" w:after="40" w:line="276" w:lineRule="auto"/>
              <w:rPr>
                <w:rFonts w:ascii="宋体" w:hAnsi="宋体"/>
                <w:b/>
                <w:color w:val="000000"/>
                <w:sz w:val="24"/>
                <w:highlight w:val="none"/>
              </w:rPr>
            </w:pPr>
            <w:r>
              <w:rPr>
                <w:rFonts w:hint="eastAsia" w:ascii="宋体" w:hAnsi="宋体"/>
                <w:b/>
                <w:color w:val="000000"/>
                <w:sz w:val="24"/>
                <w:highlight w:val="none"/>
              </w:rPr>
              <w:t xml:space="preserve">备注（证明材料位置）</w:t>
            </w:r>
            <w:r>
              <w:rPr>
                <w:rFonts w:ascii="宋体" w:hAnsi="宋体"/>
                <w:b/>
                <w:color w:val="000000"/>
                <w:sz w:val="24"/>
                <w:highlight w:val="none"/>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tcPr>
          <w:p>
            <w:pPr>
              <w:pStyle w:val="1718"/>
              <w:jc w:val="center"/>
              <w:spacing w:line="360" w:lineRule="auto"/>
              <w:rPr>
                <w:rFonts w:ascii="宋体" w:hAnsi="宋体" w:cs="黑体"/>
                <w:color w:val="000000"/>
                <w:sz w:val="24"/>
                <w:highlight w:val="none"/>
              </w:rPr>
            </w:pPr>
            <w:r>
              <w:rPr>
                <w:rFonts w:hint="eastAsia" w:ascii="宋体" w:hAnsi="宋体"/>
                <w:color w:val="000000"/>
                <w:sz w:val="24"/>
                <w:highlight w:val="none"/>
              </w:rPr>
              <w:t xml:space="preserve">1</w:t>
            </w:r>
            <w:r>
              <w:rPr>
                <w:rFonts w:ascii="宋体" w:hAnsi="宋体" w:cs="黑体"/>
                <w:color w:val="000000"/>
                <w:sz w:val="24"/>
                <w:highlight w:val="none"/>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r>
      <w:tr>
        <w:trP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tcPr>
          <w:p>
            <w:pPr>
              <w:pStyle w:val="1718"/>
              <w:jc w:val="left"/>
              <w:widowControl/>
              <w:rPr>
                <w:rFonts w:ascii="宋体" w:hAnsi="宋体" w:cs="黑体"/>
                <w:color w:val="000000"/>
                <w:sz w:val="24"/>
                <w:highlight w:val="none"/>
              </w:rPr>
            </w:pPr>
            <w:r>
              <w:rPr>
                <w:rFonts w:ascii="宋体" w:hAnsi="宋体" w:cs="黑体"/>
                <w:color w:val="000000"/>
                <w:sz w:val="24"/>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tcPr>
          <w:p>
            <w:pPr>
              <w:pStyle w:val="1718"/>
              <w:jc w:val="left"/>
              <w:widowControl/>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r>
      <w:tr>
        <w:trP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tcPr>
          <w:p>
            <w:pPr>
              <w:pStyle w:val="1718"/>
              <w:jc w:val="left"/>
              <w:widowControl/>
              <w:rPr>
                <w:rFonts w:ascii="宋体" w:hAnsi="宋体" w:cs="黑体"/>
                <w:color w:val="000000"/>
                <w:sz w:val="24"/>
                <w:highlight w:val="none"/>
              </w:rPr>
            </w:pPr>
            <w:r>
              <w:rPr>
                <w:rFonts w:ascii="宋体" w:hAnsi="宋体" w:cs="黑体"/>
                <w:color w:val="000000"/>
                <w:sz w:val="24"/>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tcPr>
          <w:p>
            <w:pPr>
              <w:pStyle w:val="1718"/>
              <w:jc w:val="left"/>
              <w:widowControl/>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none" w:color="000000" w:sz="4" w:space="0"/>
              <w:left w:val="single" w:color="000000" w:sz="4" w:space="0"/>
              <w:bottom w:val="single" w:color="000000" w:sz="4" w:space="0"/>
              <w:right w:val="single" w:color="000000" w:sz="4" w:space="0"/>
            </w:tcBorders>
            <w:tcW w:w="591" w:type="dxa"/>
            <w:vAlign w:val="top"/>
            <w:vMerge w:val="continue"/>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tcPr>
          <w:p>
            <w:pPr>
              <w:pStyle w:val="1718"/>
              <w:jc w:val="center"/>
              <w:spacing w:line="360" w:lineRule="auto"/>
              <w:rPr>
                <w:rFonts w:ascii="宋体" w:hAnsi="宋体" w:cs="黑体"/>
                <w:color w:val="000000"/>
                <w:sz w:val="24"/>
                <w:highlight w:val="none"/>
              </w:rPr>
            </w:pPr>
            <w:r>
              <w:rPr>
                <w:rFonts w:hint="eastAsia" w:ascii="宋体" w:hAnsi="宋体"/>
                <w:color w:val="000000"/>
                <w:sz w:val="24"/>
                <w:highlight w:val="none"/>
              </w:rPr>
              <w:t xml:space="preserve">2</w:t>
            </w:r>
            <w:r>
              <w:rPr>
                <w:rFonts w:ascii="宋体" w:hAnsi="宋体" w:cs="黑体"/>
                <w:color w:val="000000"/>
                <w:sz w:val="24"/>
                <w:highlight w:val="none"/>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591" w:type="dxa"/>
            <w:vAlign w:val="top"/>
            <w:vMerge w:val="restart"/>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r>
      <w:tr>
        <w:trP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tcPr>
          <w:p>
            <w:pPr>
              <w:pStyle w:val="1718"/>
              <w:jc w:val="left"/>
              <w:widowControl/>
              <w:rPr>
                <w:rFonts w:ascii="宋体" w:hAnsi="宋体" w:cs="黑体"/>
                <w:color w:val="000000"/>
                <w:sz w:val="24"/>
                <w:highlight w:val="none"/>
              </w:rPr>
            </w:pPr>
            <w:r>
              <w:rPr>
                <w:rFonts w:ascii="宋体" w:hAnsi="宋体" w:cs="黑体"/>
                <w:color w:val="000000"/>
                <w:sz w:val="24"/>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tcPr>
          <w:p>
            <w:pPr>
              <w:pStyle w:val="1718"/>
              <w:jc w:val="left"/>
              <w:widowControl/>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single" w:color="000000" w:sz="4" w:space="0"/>
              <w:bottom w:val="none" w:color="000000" w:sz="4" w:space="0"/>
              <w:right w:val="single" w:color="000000" w:sz="4" w:space="0"/>
            </w:tcBorders>
            <w:tcW w:w="591" w:type="dxa"/>
            <w:vAlign w:val="top"/>
            <w:vMerge w:val="continue"/>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r>
      <w:tr>
        <w:trP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tcPr>
          <w:p>
            <w:pPr>
              <w:pStyle w:val="1718"/>
              <w:jc w:val="left"/>
              <w:widowControl/>
              <w:rPr>
                <w:rFonts w:ascii="宋体" w:hAnsi="宋体" w:cs="黑体"/>
                <w:color w:val="000000"/>
                <w:sz w:val="24"/>
                <w:highlight w:val="none"/>
              </w:rPr>
            </w:pPr>
            <w:r>
              <w:rPr>
                <w:rFonts w:ascii="宋体" w:hAnsi="宋体" w:cs="黑体"/>
                <w:color w:val="000000"/>
                <w:sz w:val="24"/>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tcPr>
          <w:p>
            <w:pPr>
              <w:pStyle w:val="1718"/>
              <w:jc w:val="left"/>
              <w:widowControl/>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tcPr>
          <w:p>
            <w:pPr>
              <w:pStyle w:val="1718"/>
              <w:jc w:val="center"/>
              <w:spacing w:line="360" w:lineRule="auto"/>
              <w:rPr>
                <w:rFonts w:ascii="宋体" w:hAnsi="宋体" w:cs="黑体"/>
                <w:color w:val="000000"/>
                <w:sz w:val="24"/>
                <w:highlight w:val="none"/>
              </w:rPr>
            </w:pPr>
            <w:r>
              <w:rPr>
                <w:rFonts w:hint="eastAsia" w:ascii="宋体" w:hAnsi="宋体"/>
                <w:color w:val="000000"/>
                <w:sz w:val="24"/>
                <w:highlight w:val="none"/>
              </w:rPr>
              <w:t xml:space="preserve">……</w:t>
            </w:r>
            <w:r>
              <w:rPr>
                <w:rFonts w:ascii="宋体" w:hAnsi="宋体" w:cs="黑体"/>
                <w:color w:val="000000"/>
                <w:sz w:val="24"/>
                <w:highlight w:val="none"/>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r>
      <w:tr>
        <w:trP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tcPr>
          <w:p>
            <w:pPr>
              <w:pStyle w:val="1718"/>
              <w:jc w:val="left"/>
              <w:widowControl/>
              <w:rPr>
                <w:rFonts w:ascii="宋体" w:hAnsi="宋体" w:cs="黑体"/>
                <w:color w:val="000000"/>
                <w:sz w:val="24"/>
                <w:highlight w:val="none"/>
              </w:rPr>
            </w:pPr>
            <w:r>
              <w:rPr>
                <w:rFonts w:ascii="宋体" w:hAnsi="宋体" w:cs="黑体"/>
                <w:color w:val="000000"/>
                <w:sz w:val="24"/>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tcPr>
          <w:p>
            <w:pPr>
              <w:pStyle w:val="1718"/>
              <w:jc w:val="left"/>
              <w:widowControl/>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r>
      <w:tr>
        <w:trP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tcPr>
          <w:p>
            <w:pPr>
              <w:pStyle w:val="1718"/>
              <w:jc w:val="left"/>
              <w:widowControl/>
              <w:rPr>
                <w:rFonts w:ascii="宋体" w:hAnsi="宋体" w:cs="黑体"/>
                <w:color w:val="000000"/>
                <w:sz w:val="24"/>
                <w:highlight w:val="none"/>
              </w:rPr>
            </w:pPr>
            <w:r>
              <w:rPr>
                <w:rFonts w:ascii="宋体" w:hAnsi="宋体" w:cs="黑体"/>
                <w:color w:val="000000"/>
                <w:sz w:val="24"/>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tcPr>
          <w:p>
            <w:pPr>
              <w:pStyle w:val="1718"/>
              <w:jc w:val="left"/>
              <w:widowControl/>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r>
    </w:tbl>
    <w:p>
      <w:pPr>
        <w:pStyle w:val="1718"/>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注：1.按实际如实填写偏离表，如果虚假响应或简单复制招标文件提供的技术要求，将可能被视为无效的响应。</w:t>
      </w:r>
      <w:r>
        <w:rPr>
          <w:rFonts w:ascii="宋体" w:hAnsi="宋体"/>
          <w:color w:val="000000"/>
          <w:sz w:val="24"/>
          <w:highlight w:val="none"/>
          <w:u w:val="single"/>
        </w:rPr>
      </w:r>
      <w:r/>
    </w:p>
    <w:p>
      <w:pPr>
        <w:pStyle w:val="1718"/>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2.该表不能作为投标产品的技术文件，投标人应在本栏目提供产品技术证明文件。</w:t>
      </w:r>
      <w:r>
        <w:rPr>
          <w:rFonts w:ascii="宋体" w:hAnsi="宋体"/>
          <w:color w:val="000000"/>
          <w:sz w:val="24"/>
          <w:highlight w:val="none"/>
          <w:u w:val="single"/>
        </w:rPr>
      </w:r>
      <w:r/>
    </w:p>
    <w:p>
      <w:pPr>
        <w:pStyle w:val="1718"/>
        <w:jc w:val="center"/>
        <w:rPr>
          <w:b/>
          <w:color w:val="000000"/>
          <w:sz w:val="24"/>
          <w:highlight w:val="none"/>
        </w:rPr>
      </w:pPr>
      <w:r>
        <w:rPr>
          <w:b/>
          <w:color w:val="000000"/>
          <w:sz w:val="24"/>
          <w:highlight w:val="none"/>
        </w:rPr>
        <w:br w:type="page" w:clear="all"/>
      </w:r>
      <w:r>
        <w:rPr>
          <w:rFonts w:hint="eastAsia"/>
          <w:b/>
          <w:color w:val="000000"/>
          <w:sz w:val="24"/>
          <w:highlight w:val="none"/>
        </w:rPr>
        <w:t xml:space="preserve">（三）一般性要求参数响应偏离表</w:t>
      </w:r>
      <w:r>
        <w:rPr>
          <w:b/>
          <w:color w:val="000000"/>
          <w:sz w:val="24"/>
          <w:highlight w:val="none"/>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928"/>
        <w:gridCol w:w="831"/>
        <w:gridCol w:w="1023"/>
        <w:gridCol w:w="984"/>
        <w:gridCol w:w="1406"/>
        <w:gridCol w:w="1526"/>
        <w:gridCol w:w="2149"/>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tcPr>
          <w:p>
            <w:pPr>
              <w:pStyle w:val="1718"/>
              <w:jc w:val="center"/>
              <w:spacing w:before="40" w:after="40"/>
              <w:rPr>
                <w:rFonts w:ascii="宋体" w:hAnsi="宋体"/>
                <w:b/>
                <w:color w:val="000000"/>
                <w:sz w:val="24"/>
                <w:highlight w:val="none"/>
              </w:rPr>
            </w:pPr>
            <w:r>
              <w:rPr>
                <w:rFonts w:hint="eastAsia" w:ascii="宋体" w:hAnsi="宋体"/>
                <w:b/>
                <w:color w:val="000000"/>
                <w:sz w:val="24"/>
                <w:highlight w:val="none"/>
              </w:rPr>
              <w:br w:type="page" w:clear="all"/>
            </w:r>
            <w:r>
              <w:rPr>
                <w:rFonts w:hint="eastAsia" w:ascii="宋体" w:hAnsi="宋体"/>
                <w:b/>
                <w:color w:val="000000"/>
                <w:sz w:val="24"/>
                <w:highlight w:val="none"/>
              </w:rPr>
              <w:t xml:space="preserve">序号</w:t>
            </w:r>
            <w:r>
              <w:rPr>
                <w:rFonts w:ascii="宋体" w:hAnsi="宋体"/>
                <w:b/>
                <w:color w:val="000000"/>
                <w:sz w:val="24"/>
                <w:highlight w:val="none"/>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tcPr>
          <w:p>
            <w:pPr>
              <w:pStyle w:val="1718"/>
              <w:jc w:val="center"/>
              <w:spacing w:before="40" w:after="40"/>
              <w:rPr>
                <w:rFonts w:ascii="宋体" w:hAnsi="宋体"/>
                <w:b/>
                <w:color w:val="000000"/>
                <w:sz w:val="24"/>
                <w:highlight w:val="none"/>
              </w:rPr>
            </w:pPr>
            <w:r>
              <w:rPr>
                <w:rFonts w:hint="eastAsia" w:ascii="宋体" w:hAnsi="宋体"/>
                <w:b/>
                <w:color w:val="000000"/>
                <w:sz w:val="24"/>
                <w:highlight w:val="none"/>
              </w:rPr>
              <w:t xml:space="preserve">标的名称</w:t>
            </w:r>
            <w:r>
              <w:rPr>
                <w:rFonts w:ascii="宋体" w:hAnsi="宋体"/>
                <w:b/>
                <w:color w:val="000000"/>
                <w:sz w:val="24"/>
                <w:highlight w:val="none"/>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tcPr>
          <w:p>
            <w:pPr>
              <w:pStyle w:val="1718"/>
              <w:jc w:val="center"/>
              <w:spacing w:before="40" w:after="40"/>
              <w:rPr>
                <w:rFonts w:ascii="宋体" w:hAnsi="宋体"/>
                <w:b/>
                <w:color w:val="000000"/>
                <w:sz w:val="24"/>
                <w:highlight w:val="none"/>
              </w:rPr>
            </w:pPr>
            <w:r>
              <w:rPr>
                <w:rFonts w:hint="eastAsia" w:ascii="宋体" w:hAnsi="宋体"/>
                <w:b/>
                <w:color w:val="000000"/>
                <w:sz w:val="24"/>
                <w:highlight w:val="none"/>
              </w:rPr>
              <w:t xml:space="preserve">响应产品名称及型号</w:t>
            </w:r>
            <w:r>
              <w:rPr>
                <w:rFonts w:ascii="宋体" w:hAnsi="宋体"/>
                <w:b/>
                <w:color w:val="000000"/>
                <w:sz w:val="24"/>
                <w:highlight w:val="none"/>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tcPr>
          <w:p>
            <w:pPr>
              <w:pStyle w:val="1718"/>
              <w:jc w:val="center"/>
              <w:spacing w:before="40" w:after="40"/>
              <w:rPr>
                <w:rFonts w:ascii="宋体" w:hAnsi="宋体"/>
                <w:b/>
                <w:color w:val="000000"/>
                <w:sz w:val="24"/>
                <w:highlight w:val="none"/>
              </w:rPr>
            </w:pPr>
            <w:r>
              <w:rPr>
                <w:rFonts w:hint="eastAsia" w:ascii="宋体" w:hAnsi="宋体"/>
                <w:b/>
                <w:color w:val="000000"/>
                <w:sz w:val="24"/>
                <w:highlight w:val="none"/>
              </w:rPr>
              <w:t xml:space="preserve">文件要求参数</w:t>
            </w:r>
            <w:r>
              <w:rPr>
                <w:rFonts w:ascii="宋体" w:hAnsi="宋体"/>
                <w:b/>
                <w:color w:val="000000"/>
                <w:sz w:val="24"/>
                <w:highlight w:val="none"/>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tcPr>
          <w:p>
            <w:pPr>
              <w:pStyle w:val="1718"/>
              <w:jc w:val="center"/>
              <w:spacing w:before="40" w:after="40"/>
              <w:rPr>
                <w:rFonts w:ascii="宋体" w:hAnsi="宋体"/>
                <w:b/>
                <w:color w:val="000000"/>
                <w:sz w:val="24"/>
                <w:highlight w:val="none"/>
              </w:rPr>
            </w:pPr>
            <w:r>
              <w:rPr>
                <w:rFonts w:hint="eastAsia" w:ascii="宋体" w:hAnsi="宋体"/>
                <w:b/>
                <w:color w:val="000000"/>
                <w:sz w:val="24"/>
                <w:highlight w:val="none"/>
              </w:rPr>
              <w:t xml:space="preserve">响应参数</w:t>
            </w:r>
            <w:r>
              <w:rPr>
                <w:rFonts w:ascii="宋体" w:hAnsi="宋体"/>
                <w:b/>
                <w:color w:val="000000"/>
                <w:sz w:val="24"/>
                <w:highlight w:val="none"/>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tcPr>
          <w:p>
            <w:pPr>
              <w:pStyle w:val="1718"/>
              <w:jc w:val="center"/>
              <w:spacing w:before="40" w:after="40"/>
              <w:rPr>
                <w:rFonts w:ascii="宋体" w:hAnsi="宋体"/>
                <w:b/>
                <w:color w:val="000000"/>
                <w:sz w:val="24"/>
                <w:highlight w:val="none"/>
              </w:rPr>
            </w:pPr>
            <w:r>
              <w:rPr>
                <w:rFonts w:hint="eastAsia" w:ascii="宋体" w:hAnsi="宋体"/>
                <w:b/>
                <w:color w:val="000000"/>
                <w:sz w:val="24"/>
                <w:highlight w:val="none"/>
              </w:rPr>
              <w:t xml:space="preserve">偏离情况（正偏离/无偏离/负偏离）</w:t>
            </w:r>
            <w:r>
              <w:rPr>
                <w:rFonts w:ascii="宋体" w:hAnsi="宋体"/>
                <w:b/>
                <w:color w:val="000000"/>
                <w:sz w:val="24"/>
                <w:highlight w:val="none"/>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tcPr>
          <w:p>
            <w:pPr>
              <w:pStyle w:val="1718"/>
              <w:jc w:val="center"/>
              <w:spacing w:before="40" w:after="40"/>
              <w:rPr>
                <w:rFonts w:ascii="宋体" w:hAnsi="宋体"/>
                <w:b/>
                <w:color w:val="000000"/>
                <w:sz w:val="24"/>
                <w:highlight w:val="none"/>
              </w:rPr>
            </w:pPr>
            <w:r>
              <w:rPr>
                <w:rFonts w:hint="eastAsia" w:ascii="宋体" w:hAnsi="宋体"/>
                <w:b/>
                <w:color w:val="000000"/>
                <w:sz w:val="24"/>
                <w:highlight w:val="none"/>
              </w:rPr>
              <w:t xml:space="preserve">备注（证明材料位置）</w:t>
            </w:r>
            <w:r>
              <w:rPr>
                <w:rFonts w:ascii="宋体" w:hAnsi="宋体"/>
                <w:b/>
                <w:color w:val="000000"/>
                <w:sz w:val="24"/>
                <w:highlight w:val="none"/>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tcPr>
          <w:p>
            <w:pPr>
              <w:pStyle w:val="1718"/>
              <w:jc w:val="center"/>
              <w:spacing w:line="360" w:lineRule="auto"/>
              <w:rPr>
                <w:rFonts w:ascii="宋体" w:hAnsi="宋体" w:cs="黑体"/>
                <w:color w:val="000000"/>
                <w:sz w:val="24"/>
                <w:highlight w:val="none"/>
              </w:rPr>
            </w:pPr>
            <w:r>
              <w:rPr>
                <w:rFonts w:hint="eastAsia" w:ascii="宋体" w:hAnsi="宋体"/>
                <w:color w:val="000000"/>
                <w:sz w:val="24"/>
                <w:highlight w:val="none"/>
              </w:rPr>
              <w:t xml:space="preserve">1</w:t>
            </w:r>
            <w:r>
              <w:rPr>
                <w:rFonts w:ascii="宋体" w:hAnsi="宋体" w:cs="黑体"/>
                <w:color w:val="000000"/>
                <w:sz w:val="24"/>
                <w:highlight w:val="none"/>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r>
      <w:tr>
        <w:trP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tcPr>
          <w:p>
            <w:pPr>
              <w:pStyle w:val="1718"/>
              <w:jc w:val="left"/>
              <w:widowControl/>
              <w:rPr>
                <w:rFonts w:ascii="宋体" w:hAnsi="宋体" w:cs="黑体"/>
                <w:color w:val="000000"/>
                <w:sz w:val="24"/>
                <w:highlight w:val="none"/>
              </w:rPr>
            </w:pPr>
            <w:r>
              <w:rPr>
                <w:rFonts w:ascii="宋体" w:hAnsi="宋体" w:cs="黑体"/>
                <w:color w:val="000000"/>
                <w:sz w:val="24"/>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tcPr>
          <w:p>
            <w:pPr>
              <w:pStyle w:val="1718"/>
              <w:jc w:val="left"/>
              <w:widowControl/>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r>
      <w:tr>
        <w:trP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tcPr>
          <w:p>
            <w:pPr>
              <w:pStyle w:val="1718"/>
              <w:jc w:val="left"/>
              <w:widowControl/>
              <w:rPr>
                <w:rFonts w:ascii="宋体" w:hAnsi="宋体" w:cs="黑体"/>
                <w:color w:val="000000"/>
                <w:sz w:val="24"/>
                <w:highlight w:val="none"/>
              </w:rPr>
            </w:pPr>
            <w:r>
              <w:rPr>
                <w:rFonts w:ascii="宋体" w:hAnsi="宋体" w:cs="黑体"/>
                <w:color w:val="000000"/>
                <w:sz w:val="24"/>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tcPr>
          <w:p>
            <w:pPr>
              <w:pStyle w:val="1718"/>
              <w:jc w:val="left"/>
              <w:widowControl/>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tcPr>
          <w:p>
            <w:pPr>
              <w:pStyle w:val="1718"/>
              <w:jc w:val="center"/>
              <w:spacing w:line="360" w:lineRule="auto"/>
              <w:rPr>
                <w:rFonts w:ascii="宋体" w:hAnsi="宋体" w:cs="黑体"/>
                <w:color w:val="000000"/>
                <w:sz w:val="24"/>
                <w:highlight w:val="none"/>
              </w:rPr>
            </w:pPr>
            <w:r>
              <w:rPr>
                <w:rFonts w:hint="eastAsia" w:ascii="宋体" w:hAnsi="宋体"/>
                <w:color w:val="000000"/>
                <w:sz w:val="24"/>
                <w:highlight w:val="none"/>
              </w:rPr>
              <w:t xml:space="preserve">2</w:t>
            </w:r>
            <w:r>
              <w:rPr>
                <w:rFonts w:ascii="宋体" w:hAnsi="宋体" w:cs="黑体"/>
                <w:color w:val="000000"/>
                <w:sz w:val="24"/>
                <w:highlight w:val="none"/>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r>
      <w:tr>
        <w:trP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tcPr>
          <w:p>
            <w:pPr>
              <w:pStyle w:val="1718"/>
              <w:jc w:val="left"/>
              <w:widowControl/>
              <w:rPr>
                <w:rFonts w:ascii="宋体" w:hAnsi="宋体" w:cs="黑体"/>
                <w:color w:val="000000"/>
                <w:sz w:val="24"/>
                <w:highlight w:val="none"/>
              </w:rPr>
            </w:pPr>
            <w:r>
              <w:rPr>
                <w:rFonts w:ascii="宋体" w:hAnsi="宋体" w:cs="黑体"/>
                <w:color w:val="000000"/>
                <w:sz w:val="24"/>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tcPr>
          <w:p>
            <w:pPr>
              <w:pStyle w:val="1718"/>
              <w:jc w:val="left"/>
              <w:widowControl/>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r>
      <w:tr>
        <w:trP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tcPr>
          <w:p>
            <w:pPr>
              <w:pStyle w:val="1718"/>
              <w:jc w:val="left"/>
              <w:widowControl/>
              <w:rPr>
                <w:rFonts w:ascii="宋体" w:hAnsi="宋体" w:cs="黑体"/>
                <w:color w:val="000000"/>
                <w:sz w:val="24"/>
                <w:highlight w:val="none"/>
              </w:rPr>
            </w:pPr>
            <w:r>
              <w:rPr>
                <w:rFonts w:ascii="宋体" w:hAnsi="宋体" w:cs="黑体"/>
                <w:color w:val="000000"/>
                <w:sz w:val="24"/>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tcPr>
          <w:p>
            <w:pPr>
              <w:pStyle w:val="1718"/>
              <w:jc w:val="left"/>
              <w:widowControl/>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tcPr>
          <w:p>
            <w:pPr>
              <w:pStyle w:val="1718"/>
              <w:jc w:val="center"/>
              <w:spacing w:line="360" w:lineRule="auto"/>
              <w:rPr>
                <w:rFonts w:ascii="宋体" w:hAnsi="宋体" w:cs="黑体"/>
                <w:color w:val="000000"/>
                <w:sz w:val="24"/>
                <w:highlight w:val="none"/>
              </w:rPr>
            </w:pPr>
            <w:r>
              <w:rPr>
                <w:rFonts w:hint="eastAsia" w:ascii="宋体" w:hAnsi="宋体"/>
                <w:color w:val="000000"/>
                <w:sz w:val="24"/>
                <w:highlight w:val="none"/>
              </w:rPr>
              <w:t xml:space="preserve">……</w:t>
            </w:r>
            <w:r>
              <w:rPr>
                <w:rFonts w:ascii="宋体" w:hAnsi="宋体" w:cs="黑体"/>
                <w:color w:val="000000"/>
                <w:sz w:val="24"/>
                <w:highlight w:val="none"/>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r>
      <w:tr>
        <w:trP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tcPr>
          <w:p>
            <w:pPr>
              <w:pStyle w:val="1718"/>
              <w:jc w:val="left"/>
              <w:widowControl/>
              <w:rPr>
                <w:rFonts w:ascii="宋体" w:hAnsi="宋体" w:cs="黑体"/>
                <w:color w:val="000000"/>
                <w:sz w:val="24"/>
                <w:highlight w:val="none"/>
              </w:rPr>
            </w:pPr>
            <w:r>
              <w:rPr>
                <w:rFonts w:ascii="宋体" w:hAnsi="宋体" w:cs="黑体"/>
                <w:color w:val="000000"/>
                <w:sz w:val="24"/>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tcPr>
          <w:p>
            <w:pPr>
              <w:pStyle w:val="1718"/>
              <w:jc w:val="left"/>
              <w:widowControl/>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r>
      <w:tr>
        <w:trP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tcPr>
          <w:p>
            <w:pPr>
              <w:pStyle w:val="1718"/>
              <w:jc w:val="left"/>
              <w:widowControl/>
              <w:rPr>
                <w:rFonts w:ascii="宋体" w:hAnsi="宋体" w:cs="黑体"/>
                <w:color w:val="000000"/>
                <w:sz w:val="24"/>
                <w:highlight w:val="none"/>
              </w:rPr>
            </w:pPr>
            <w:r>
              <w:rPr>
                <w:rFonts w:ascii="宋体" w:hAnsi="宋体" w:cs="黑体"/>
                <w:color w:val="000000"/>
                <w:sz w:val="24"/>
                <w:highlight w:val="none"/>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tcPr>
          <w:p>
            <w:pPr>
              <w:pStyle w:val="1718"/>
              <w:jc w:val="left"/>
              <w:widowControl/>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tcPr>
          <w:p>
            <w:pPr>
              <w:pStyle w:val="1718"/>
              <w:spacing w:line="360" w:lineRule="auto"/>
              <w:rPr>
                <w:rFonts w:ascii="宋体" w:hAnsi="宋体" w:cs="黑体"/>
                <w:color w:val="000000"/>
                <w:sz w:val="24"/>
                <w:highlight w:val="none"/>
                <w:u w:val="single"/>
              </w:rPr>
            </w:pPr>
            <w:r>
              <w:rPr>
                <w:rFonts w:ascii="宋体" w:hAnsi="宋体" w:cs="黑体"/>
                <w:color w:val="000000"/>
                <w:sz w:val="24"/>
                <w:highlight w:val="none"/>
                <w:u w:val="single"/>
              </w:rPr>
            </w:r>
            <w:r/>
          </w:p>
        </w:tc>
      </w:tr>
    </w:tbl>
    <w:p>
      <w:pPr>
        <w:pStyle w:val="1718"/>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注：1.按实际如实填写偏离表，如果虚假响应或简单复制招标文件提供的技术要求，将可能被视为无效的响应。</w:t>
      </w:r>
      <w:r>
        <w:rPr>
          <w:rFonts w:ascii="宋体" w:hAnsi="宋体"/>
          <w:color w:val="000000"/>
          <w:sz w:val="24"/>
          <w:highlight w:val="none"/>
          <w:u w:val="single"/>
        </w:rPr>
      </w:r>
      <w:r/>
    </w:p>
    <w:p>
      <w:pPr>
        <w:pStyle w:val="1718"/>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2.该表不能作为投标产品的技术文件，投标人应在本栏目提供产品技术证明文件。</w:t>
      </w:r>
      <w:r>
        <w:rPr>
          <w:rFonts w:ascii="宋体" w:hAnsi="宋体"/>
          <w:color w:val="000000"/>
          <w:sz w:val="24"/>
          <w:highlight w:val="none"/>
          <w:u w:val="single"/>
        </w:rPr>
      </w:r>
      <w:r/>
    </w:p>
    <w:p>
      <w:pPr>
        <w:pStyle w:val="1719"/>
        <w:jc w:val="center"/>
        <w:rPr>
          <w:color w:val="000000"/>
          <w:highlight w:val="none"/>
        </w:rPr>
        <w:outlineLvl w:val="1"/>
      </w:pPr>
      <w:r>
        <w:rPr>
          <w:color w:val="000000"/>
          <w:highlight w:val="none"/>
        </w:rPr>
        <w:br w:type="page" w:clear="all"/>
      </w:r>
      <w:bookmarkStart w:id="199" w:name="_Toc256000083"/>
      <w:r/>
      <w:bookmarkStart w:id="200" w:name="_Toc27692"/>
      <w:r/>
      <w:bookmarkStart w:id="201" w:name="_Toc22357"/>
      <w:r>
        <w:rPr>
          <w:rFonts w:hint="eastAsia" w:ascii="宋体" w:hAnsi="宋体" w:eastAsia="宋体" w:cs="宋体"/>
          <w:color w:val="000000"/>
          <w:highlight w:val="none"/>
        </w:rPr>
        <w:t xml:space="preserve">四</w:t>
      </w:r>
      <w:r>
        <w:rPr>
          <w:rFonts w:ascii="宋体" w:hAnsi="宋体" w:eastAsia="宋体" w:cs="宋体"/>
          <w:color w:val="000000"/>
          <w:highlight w:val="none"/>
        </w:rPr>
        <w:t xml:space="preserve">、商务部分</w:t>
      </w:r>
      <w:bookmarkEnd w:id="199"/>
      <w:r/>
      <w:bookmarkEnd w:id="200"/>
      <w:r/>
      <w:bookmarkEnd w:id="201"/>
      <w:r>
        <w:rPr>
          <w:color w:val="000000"/>
          <w:highlight w:val="none"/>
        </w:rPr>
      </w:r>
      <w:r/>
    </w:p>
    <w:p>
      <w:pPr>
        <w:pStyle w:val="1720"/>
        <w:jc w:val="center"/>
        <w:rPr>
          <w:rFonts w:ascii="宋体" w:hAnsi="宋体" w:eastAsia="宋体" w:cs="宋体"/>
          <w:color w:val="000000"/>
          <w:highlight w:val="none"/>
        </w:rPr>
        <w:outlineLvl w:val="2"/>
      </w:pPr>
      <w:r>
        <w:rPr>
          <w:color w:val="000000"/>
          <w:highlight w:val="none"/>
        </w:rPr>
        <w:br w:type="page" w:clear="all"/>
      </w:r>
      <w:bookmarkStart w:id="202" w:name="_Toc256000084"/>
      <w:r>
        <w:rPr>
          <w:rFonts w:ascii="宋体" w:hAnsi="宋体" w:eastAsia="宋体" w:cs="宋体"/>
          <w:color w:val="000000"/>
          <w:highlight w:val="none"/>
        </w:rPr>
        <w:t xml:space="preserve">(一)投标人</w:t>
      </w:r>
      <w:bookmarkEnd w:id="202"/>
      <w:r>
        <w:rPr>
          <w:rFonts w:hint="eastAsia" w:ascii="宋体" w:hAnsi="宋体" w:eastAsia="宋体" w:cs="宋体"/>
          <w:color w:val="000000"/>
          <w:highlight w:val="none"/>
        </w:rPr>
        <w:t xml:space="preserve">类似业绩</w:t>
      </w:r>
      <w:r>
        <w:rPr>
          <w:rFonts w:ascii="宋体" w:hAnsi="宋体" w:eastAsia="宋体" w:cs="宋体"/>
          <w:color w:val="000000"/>
          <w:highlight w:val="none"/>
        </w:rPr>
      </w:r>
      <w:r/>
    </w:p>
    <w:p>
      <w:pPr>
        <w:pStyle w:val="1721"/>
        <w:rPr>
          <w:color w:val="000000"/>
          <w:sz w:val="24"/>
          <w:szCs w:val="24"/>
          <w:highlight w:val="none"/>
        </w:rPr>
      </w:pPr>
      <w:r>
        <w:rPr>
          <w:color w:val="000000"/>
          <w:sz w:val="24"/>
          <w:szCs w:val="24"/>
          <w:highlight w:val="none"/>
        </w:rPr>
      </w:r>
      <w:r/>
    </w:p>
    <w:p>
      <w:pPr>
        <w:pStyle w:val="1722"/>
        <w:jc w:val="both"/>
        <w:rPr>
          <w:color w:val="000000"/>
          <w:highlight w:val="none"/>
        </w:rPr>
        <w:outlineLvl w:val="2"/>
      </w:pPr>
      <w:r>
        <w:rPr>
          <w:color w:val="000000"/>
          <w:highlight w:val="none"/>
        </w:rPr>
      </w:r>
      <w:r/>
    </w:p>
    <w:p>
      <w:pPr>
        <w:pStyle w:val="1723"/>
        <w:jc w:val="center"/>
        <w:rPr>
          <w:color w:val="000000"/>
          <w:highlight w:val="none"/>
        </w:rPr>
        <w:outlineLvl w:val="2"/>
      </w:pPr>
      <w:r>
        <w:rPr>
          <w:color w:val="000000"/>
          <w:highlight w:val="none"/>
        </w:rPr>
        <w:br w:type="page" w:clear="all"/>
      </w:r>
      <w:bookmarkStart w:id="203" w:name="_Toc256000089"/>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二</w:t>
      </w:r>
      <w:r>
        <w:rPr>
          <w:rFonts w:ascii="宋体" w:hAnsi="宋体" w:eastAsia="宋体" w:cs="宋体"/>
          <w:color w:val="000000"/>
          <w:highlight w:val="none"/>
        </w:rPr>
        <w:t xml:space="preserve">)开标一览表</w:t>
      </w:r>
      <w:bookmarkEnd w:id="203"/>
      <w:r>
        <w:rPr>
          <w:color w:val="000000"/>
          <w:highlight w:val="none"/>
        </w:rPr>
      </w:r>
      <w:r/>
    </w:p>
    <w:p>
      <w:pPr>
        <w:pStyle w:val="1724"/>
        <w:jc w:val="center"/>
        <w:rPr>
          <w:rFonts w:ascii="宋体" w:hAnsi="宋体" w:eastAsia="宋体" w:cs="宋体"/>
          <w:color w:val="000000"/>
          <w:highlight w:val="none"/>
        </w:rPr>
      </w:pPr>
      <w:r>
        <w:rPr>
          <w:rFonts w:ascii="宋体" w:hAnsi="宋体" w:eastAsia="宋体" w:cs="宋体"/>
          <w:color w:val="000000"/>
          <w:highlight w:val="none"/>
        </w:rPr>
        <w:t xml:space="preserve">﻿</w:t>
      </w:r>
      <w:r>
        <w:rPr>
          <w:rFonts w:ascii="宋体" w:hAnsi="宋体" w:eastAsia="宋体" w:cs="宋体"/>
          <w:b/>
          <w:bCs/>
          <w:color w:val="000000"/>
          <w:highlight w:val="none"/>
        </w:rPr>
        <w:t xml:space="preserve">开标一览表</w:t>
      </w:r>
      <w:r>
        <w:rPr>
          <w:rFonts w:ascii="宋体" w:hAnsi="宋体" w:eastAsia="宋体" w:cs="宋体"/>
          <w:color w:val="000000"/>
          <w:highlight w:val="none"/>
        </w:rPr>
      </w:r>
      <w:r/>
    </w:p>
    <w:p>
      <w:pPr>
        <w:pStyle w:val="1724"/>
        <w:spacing w:before="240" w:after="240"/>
        <w:rPr>
          <w:rFonts w:ascii="宋体" w:hAnsi="宋体" w:eastAsia="宋体" w:cs="宋体"/>
          <w:color w:val="000000"/>
          <w:highlight w:val="none"/>
        </w:rPr>
      </w:pPr>
      <w:r>
        <w:rPr>
          <w:rFonts w:ascii="宋体" w:hAnsi="宋体" w:eastAsia="宋体" w:cs="宋体"/>
          <w:color w:val="000000"/>
          <w:highlight w:val="none"/>
        </w:rPr>
        <w:t xml:space="preserve">单位名称（加盖公章）：</w:t>
      </w:r>
      <w:r>
        <w:rPr>
          <w:rFonts w:ascii="宋体" w:hAnsi="宋体" w:eastAsia="宋体" w:cs="宋体"/>
          <w:color w:val="000000"/>
          <w:highlight w:val="none"/>
        </w:rPr>
      </w:r>
      <w:r/>
    </w:p>
    <w:tbl>
      <w:tblPr>
        <w:tblW w:w="870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2"/>
        <w:gridCol w:w="4216"/>
      </w:tblGrid>
      <w:tr>
        <w:trPr>
          <w:trHeight w:val="900"/>
        </w:trPr>
        <w:tc>
          <w:tcPr>
            <w:tcMar>
              <w:left w:w="0" w:type="dxa"/>
              <w:top w:w="0" w:type="dxa"/>
              <w:right w:w="0" w:type="dxa"/>
              <w:bottom w:w="0" w:type="dxa"/>
            </w:tcMar>
            <w:tcW w:w="4492" w:type="dxa"/>
            <w:vAlign w:val="center"/>
            <w:textDirection w:val="lrTb"/>
            <w:noWrap/>
          </w:tcPr>
          <w:p>
            <w:pPr>
              <w:pStyle w:val="1724"/>
              <w:jc w:val="center"/>
              <w:rPr>
                <w:rFonts w:ascii="宋体" w:hAnsi="宋体" w:eastAsia="宋体" w:cs="宋体"/>
                <w:color w:val="000000"/>
                <w:highlight w:val="none"/>
              </w:rPr>
            </w:pPr>
            <w:r>
              <w:rPr>
                <w:rFonts w:ascii="宋体" w:hAnsi="宋体" w:eastAsia="宋体" w:cs="宋体"/>
                <w:color w:val="000000"/>
                <w:highlight w:val="none"/>
              </w:rPr>
              <w:t xml:space="preserve">标题</w:t>
            </w:r>
            <w:r>
              <w:rPr>
                <w:rFonts w:ascii="宋体" w:hAnsi="宋体" w:eastAsia="宋体" w:cs="宋体"/>
                <w:color w:val="000000"/>
                <w:highlight w:val="none"/>
              </w:rPr>
            </w:r>
            <w:r/>
          </w:p>
        </w:tc>
        <w:tc>
          <w:tcPr>
            <w:tcMar>
              <w:left w:w="0" w:type="dxa"/>
              <w:top w:w="0" w:type="dxa"/>
              <w:right w:w="0" w:type="dxa"/>
              <w:bottom w:w="0" w:type="dxa"/>
            </w:tcMar>
            <w:tcW w:w="4216" w:type="dxa"/>
            <w:vAlign w:val="center"/>
            <w:textDirection w:val="lrTb"/>
            <w:noWrap/>
          </w:tcPr>
          <w:p>
            <w:pPr>
              <w:pStyle w:val="1724"/>
              <w:jc w:val="center"/>
              <w:rPr>
                <w:rFonts w:ascii="宋体" w:hAnsi="宋体" w:eastAsia="宋体" w:cs="宋体"/>
                <w:color w:val="000000"/>
                <w:highlight w:val="none"/>
              </w:rPr>
            </w:pPr>
            <w:r>
              <w:rPr>
                <w:rFonts w:ascii="宋体" w:hAnsi="宋体" w:eastAsia="宋体" w:cs="宋体"/>
                <w:color w:val="000000"/>
                <w:highlight w:val="none"/>
              </w:rPr>
              <w:t xml:space="preserve">内容</w:t>
            </w:r>
            <w:r>
              <w:rPr>
                <w:rFonts w:ascii="宋体" w:hAnsi="宋体" w:eastAsia="宋体" w:cs="宋体"/>
                <w:color w:val="000000"/>
                <w:highlight w:val="none"/>
              </w:rPr>
            </w:r>
            <w:r/>
          </w:p>
        </w:tc>
      </w:tr>
      <w:tr>
        <w:trPr>
          <w:trHeight w:val="900"/>
        </w:trPr>
        <w:tc>
          <w:tcPr>
            <w:tcMar>
              <w:left w:w="0" w:type="dxa"/>
              <w:top w:w="0" w:type="dxa"/>
              <w:right w:w="0" w:type="dxa"/>
              <w:bottom w:w="0" w:type="dxa"/>
            </w:tcMar>
            <w:tcW w:w="4492" w:type="dxa"/>
            <w:vAlign w:val="center"/>
            <w:textDirection w:val="lrTb"/>
            <w:noWrap/>
          </w:tcPr>
          <w:p>
            <w:pPr>
              <w:pStyle w:val="1724"/>
              <w:jc w:val="center"/>
              <w:rPr>
                <w:rFonts w:ascii="宋体" w:hAnsi="宋体" w:eastAsia="宋体" w:cs="宋体"/>
                <w:color w:val="000000"/>
                <w:highlight w:val="none"/>
              </w:rPr>
            </w:pPr>
            <w:r>
              <w:rPr>
                <w:rFonts w:hint="eastAsia" w:ascii="宋体" w:hAnsi="宋体" w:eastAsia="宋体" w:cs="宋体"/>
                <w:color w:val="000000"/>
                <w:highlight w:val="none"/>
              </w:rPr>
              <w:t xml:space="preserve">项目</w:t>
            </w:r>
            <w:r>
              <w:rPr>
                <w:rFonts w:ascii="宋体" w:hAnsi="宋体" w:eastAsia="宋体" w:cs="宋体"/>
                <w:color w:val="000000"/>
                <w:highlight w:val="none"/>
              </w:rPr>
              <w:t xml:space="preserve">名称</w:t>
            </w:r>
            <w:r>
              <w:rPr>
                <w:rFonts w:ascii="宋体" w:hAnsi="宋体" w:eastAsia="宋体" w:cs="宋体"/>
                <w:color w:val="000000"/>
                <w:highlight w:val="none"/>
              </w:rPr>
            </w:r>
            <w:r/>
          </w:p>
        </w:tc>
        <w:tc>
          <w:tcPr>
            <w:tcMar>
              <w:left w:w="0" w:type="dxa"/>
              <w:top w:w="0" w:type="dxa"/>
              <w:right w:w="0" w:type="dxa"/>
              <w:bottom w:w="0" w:type="dxa"/>
            </w:tcMar>
            <w:tcW w:w="4216" w:type="dxa"/>
            <w:vAlign w:val="center"/>
            <w:textDirection w:val="lrTb"/>
            <w:noWrap/>
          </w:tcPr>
          <w:p>
            <w:pPr>
              <w:pStyle w:val="1724"/>
              <w:jc w:val="center"/>
              <w:rPr>
                <w:rFonts w:ascii="宋体" w:hAnsi="宋体" w:eastAsia="宋体" w:cs="宋体"/>
                <w:color w:val="000000"/>
                <w:highlight w:val="none"/>
              </w:rPr>
            </w:pPr>
            <w:r>
              <w:rPr>
                <w:rFonts w:ascii="宋体" w:hAnsi="宋体" w:eastAsia="宋体" w:cs="宋体"/>
                <w:color w:val="000000"/>
                <w:highlight w:val="none"/>
              </w:rPr>
            </w:r>
            <w:r/>
          </w:p>
        </w:tc>
      </w:tr>
      <w:tr>
        <w:trPr>
          <w:trHeight w:val="900"/>
        </w:trPr>
        <w:tc>
          <w:tcPr>
            <w:tcMar>
              <w:left w:w="0" w:type="dxa"/>
              <w:top w:w="0" w:type="dxa"/>
              <w:right w:w="0" w:type="dxa"/>
              <w:bottom w:w="0" w:type="dxa"/>
            </w:tcMar>
            <w:tcW w:w="4492" w:type="dxa"/>
            <w:vAlign w:val="center"/>
            <w:textDirection w:val="lrTb"/>
            <w:noWrap/>
          </w:tcPr>
          <w:p>
            <w:pPr>
              <w:pStyle w:val="1724"/>
              <w:jc w:val="center"/>
              <w:rPr>
                <w:rFonts w:ascii="宋体" w:hAnsi="宋体" w:eastAsia="宋体" w:cs="宋体"/>
                <w:color w:val="000000"/>
                <w:highlight w:val="none"/>
              </w:rPr>
            </w:pPr>
            <w:r>
              <w:rPr>
                <w:rFonts w:hint="eastAsia" w:ascii="宋体" w:hAnsi="宋体" w:eastAsia="宋体" w:cs="宋体"/>
                <w:color w:val="000000"/>
                <w:highlight w:val="none"/>
              </w:rPr>
              <w:t xml:space="preserve">项目总报价</w:t>
            </w:r>
            <w:r>
              <w:rPr>
                <w:rFonts w:ascii="宋体" w:hAnsi="宋体" w:eastAsia="宋体" w:cs="宋体"/>
                <w:color w:val="000000"/>
                <w:highlight w:val="none"/>
              </w:rPr>
            </w:r>
            <w:r/>
          </w:p>
        </w:tc>
        <w:tc>
          <w:tcPr>
            <w:tcMar>
              <w:left w:w="0" w:type="dxa"/>
              <w:top w:w="0" w:type="dxa"/>
              <w:right w:w="0" w:type="dxa"/>
              <w:bottom w:w="0" w:type="dxa"/>
            </w:tcMar>
            <w:tcW w:w="4216" w:type="dxa"/>
            <w:vAlign w:val="center"/>
            <w:textDirection w:val="lrTb"/>
            <w:noWrap/>
          </w:tcPr>
          <w:p>
            <w:pPr>
              <w:pStyle w:val="1724"/>
              <w:jc w:val="center"/>
              <w:rPr>
                <w:rFonts w:ascii="宋体" w:hAnsi="宋体" w:eastAsia="宋体" w:cs="宋体"/>
                <w:color w:val="000000"/>
                <w:highlight w:val="none"/>
              </w:rPr>
            </w:pPr>
            <w:r>
              <w:rPr>
                <w:rFonts w:hint="eastAsia" w:ascii="宋体" w:hAnsi="宋体" w:eastAsia="宋体" w:cs="宋体"/>
                <w:color w:val="000000"/>
                <w:highlight w:val="none"/>
              </w:rPr>
              <w:t xml:space="preserve">元</w:t>
            </w:r>
            <w:r>
              <w:rPr>
                <w:rFonts w:ascii="宋体" w:hAnsi="宋体" w:eastAsia="宋体" w:cs="宋体"/>
                <w:color w:val="000000"/>
                <w:highlight w:val="none"/>
              </w:rPr>
            </w:r>
            <w:r/>
          </w:p>
        </w:tc>
      </w:tr>
      <w:tr>
        <w:trPr>
          <w:trHeight w:val="900"/>
        </w:trPr>
        <w:tc>
          <w:tcPr>
            <w:tcMar>
              <w:left w:w="0" w:type="dxa"/>
              <w:top w:w="0" w:type="dxa"/>
              <w:right w:w="0" w:type="dxa"/>
              <w:bottom w:w="0" w:type="dxa"/>
            </w:tcMar>
            <w:tcW w:w="4492" w:type="dxa"/>
            <w:vAlign w:val="center"/>
            <w:textDirection w:val="lrTb"/>
            <w:noWrap/>
          </w:tcPr>
          <w:p>
            <w:pPr>
              <w:pStyle w:val="1724"/>
              <w:jc w:val="center"/>
              <w:rPr>
                <w:rFonts w:ascii="宋体" w:hAnsi="宋体" w:eastAsia="宋体" w:cs="宋体"/>
                <w:color w:val="000000"/>
                <w:highlight w:val="none"/>
              </w:rPr>
            </w:pPr>
            <w:r>
              <w:rPr>
                <w:rFonts w:hint="eastAsia" w:ascii="宋体" w:hAnsi="宋体" w:eastAsia="宋体" w:cs="宋体"/>
                <w:color w:val="000000"/>
                <w:highlight w:val="none"/>
              </w:rPr>
              <w:t xml:space="preserve">备注</w:t>
            </w:r>
            <w:r>
              <w:rPr>
                <w:rFonts w:ascii="宋体" w:hAnsi="宋体" w:eastAsia="宋体" w:cs="宋体"/>
                <w:color w:val="000000"/>
                <w:highlight w:val="none"/>
              </w:rPr>
            </w:r>
            <w:r/>
          </w:p>
        </w:tc>
        <w:tc>
          <w:tcPr>
            <w:tcMar>
              <w:left w:w="0" w:type="dxa"/>
              <w:top w:w="0" w:type="dxa"/>
              <w:right w:w="0" w:type="dxa"/>
              <w:bottom w:w="0" w:type="dxa"/>
            </w:tcMar>
            <w:tcW w:w="4216" w:type="dxa"/>
            <w:vAlign w:val="center"/>
            <w:textDirection w:val="lrTb"/>
            <w:noWrap/>
          </w:tcPr>
          <w:p>
            <w:pPr>
              <w:pStyle w:val="1724"/>
              <w:jc w:val="center"/>
              <w:rPr>
                <w:rFonts w:ascii="宋体" w:hAnsi="宋体" w:eastAsia="宋体" w:cs="宋体"/>
                <w:color w:val="000000"/>
                <w:highlight w:val="none"/>
              </w:rPr>
            </w:pPr>
            <w:r>
              <w:rPr>
                <w:rFonts w:ascii="宋体" w:hAnsi="宋体" w:eastAsia="宋体" w:cs="宋体"/>
                <w:color w:val="000000"/>
                <w:highlight w:val="none"/>
              </w:rPr>
            </w:r>
            <w:r/>
          </w:p>
        </w:tc>
      </w:tr>
    </w:tbl>
    <w:p>
      <w:pPr>
        <w:pStyle w:val="1724"/>
        <w:ind w:firstLine="2000"/>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724"/>
        <w:ind w:firstLine="2000"/>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31"/>
        <w:ind w:firstLine="480"/>
        <w:spacing w:line="360" w:lineRule="auto"/>
        <w:rPr>
          <w:rFonts w:hint="eastAsia" w:ascii="宋体" w:hAnsi="宋体" w:cs="宋体"/>
          <w:iCs/>
          <w:color w:val="000000"/>
          <w:sz w:val="24"/>
          <w:szCs w:val="24"/>
          <w:highlight w:val="none"/>
        </w:rPr>
      </w:pPr>
      <w:r>
        <w:rPr>
          <w:rFonts w:hint="eastAsia" w:ascii="宋体" w:hAnsi="宋体" w:cs="宋体"/>
          <w:color w:val="000000"/>
          <w:sz w:val="24"/>
          <w:szCs w:val="24"/>
          <w:highlight w:val="none"/>
        </w:rPr>
        <w:t xml:space="preserve">注：</w:t>
      </w:r>
      <w:r>
        <w:rPr>
          <w:rFonts w:hint="eastAsia" w:ascii="宋体" w:hAnsi="宋体" w:cs="宋体"/>
          <w:iCs/>
          <w:color w:val="000000"/>
          <w:sz w:val="24"/>
          <w:szCs w:val="24"/>
          <w:highlight w:val="none"/>
        </w:rPr>
        <w:t xml:space="preserve">1、投标人报价包含2025年镇江市丹徒区公路事业发展中心路网指挥中心改造项目所有设备实施交付费用；</w:t>
      </w:r>
      <w:r>
        <w:rPr>
          <w:rFonts w:hint="eastAsia" w:ascii="宋体" w:hAnsi="宋体" w:cs="宋体"/>
          <w:iCs/>
          <w:color w:val="000000"/>
          <w:sz w:val="24"/>
          <w:szCs w:val="24"/>
          <w:highlight w:val="none"/>
        </w:rPr>
      </w:r>
      <w:r/>
    </w:p>
    <w:p>
      <w:pPr>
        <w:pStyle w:val="1131"/>
        <w:ind w:firstLine="480"/>
        <w:spacing w:line="360"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2、投标人设备报价包含设备施工交付过程中所需所有辅材及配套材料费用。对于招标文件工程量清单中未单独列出，但确为工程所需的辅材等，应视为承包人为完成本工程所必须提供的，其费用应已包含在合同清单中，一律不予追加费用； </w:t>
      </w:r>
      <w:r>
        <w:rPr>
          <w:rFonts w:hint="eastAsia" w:ascii="宋体" w:hAnsi="宋体" w:cs="宋体"/>
          <w:iCs/>
          <w:color w:val="000000"/>
          <w:sz w:val="24"/>
          <w:szCs w:val="24"/>
          <w:highlight w:val="none"/>
        </w:rPr>
      </w:r>
      <w:r/>
    </w:p>
    <w:p>
      <w:pPr>
        <w:pStyle w:val="1131"/>
        <w:ind w:firstLine="480"/>
        <w:spacing w:line="360"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3、投标人应在投标文件中载明各类主要设备、材料的品牌、型号及生产厂家，在合同执行过程中不得自行调整。对于因设备停产引起的设备型号调整，应采用同一厂家的升级产品，发包人有权根据升级产品的市场价格对设备单价进行调整，但调整后的设备单价最高不突破原合同单价；</w:t>
      </w:r>
      <w:r>
        <w:rPr>
          <w:rFonts w:hint="eastAsia" w:ascii="宋体" w:hAnsi="宋体" w:cs="宋体"/>
          <w:iCs/>
          <w:color w:val="000000"/>
          <w:sz w:val="24"/>
          <w:szCs w:val="24"/>
          <w:highlight w:val="none"/>
        </w:rPr>
      </w:r>
      <w:r/>
    </w:p>
    <w:p>
      <w:pPr>
        <w:pStyle w:val="1131"/>
        <w:spacing w:line="360" w:lineRule="auto"/>
        <w:rPr>
          <w:rFonts w:ascii="宋体" w:hAnsi="宋体"/>
          <w:b/>
          <w:color w:val="000000"/>
          <w:sz w:val="24"/>
          <w:szCs w:val="24"/>
          <w:highlight w:val="none"/>
        </w:rPr>
      </w:pPr>
      <w:r>
        <w:rPr>
          <w:rFonts w:hint="eastAsia" w:ascii="宋体" w:hAnsi="宋体" w:cs="宋体"/>
          <w:iCs/>
          <w:color w:val="000000"/>
          <w:sz w:val="24"/>
          <w:szCs w:val="24"/>
          <w:highlight w:val="none"/>
        </w:rPr>
        <w:t xml:space="preserve">4、建筑材料堆放必须符合业主的要求，所有建筑垃圾（含拆除的垃圾）必须按业主的要求及时清理及外运（抛弃点自行考虑），现场环境卫生必须满足业主的相关规定，此部分不单独计量，报价时需计入相应单价和总价中。</w:t>
      </w:r>
      <w:r>
        <w:rPr>
          <w:rFonts w:ascii="宋体" w:hAnsi="宋体"/>
          <w:b/>
          <w:color w:val="000000"/>
          <w:sz w:val="24"/>
          <w:szCs w:val="24"/>
          <w:highlight w:val="none"/>
        </w:rPr>
      </w:r>
      <w:r/>
    </w:p>
    <w:p>
      <w:pPr>
        <w:pStyle w:val="1724"/>
        <w:ind w:firstLine="2000"/>
        <w:spacing w:before="240" w:after="240"/>
        <w:rPr>
          <w:rFonts w:ascii="宋体" w:hAnsi="宋体" w:eastAsia="宋体" w:cs="宋体"/>
          <w:color w:val="000000"/>
          <w:highlight w:val="none"/>
        </w:rPr>
      </w:pPr>
      <w:r>
        <w:rPr>
          <w:rFonts w:ascii="宋体" w:hAnsi="宋体" w:eastAsia="宋体" w:cs="宋体"/>
          <w:color w:val="000000"/>
          <w:highlight w:val="none"/>
        </w:rPr>
      </w:r>
      <w:r/>
    </w:p>
    <w:p>
      <w:pPr>
        <w:pStyle w:val="1724"/>
        <w:spacing w:before="240" w:after="240"/>
        <w:rPr>
          <w:rFonts w:ascii="宋体" w:hAnsi="宋体" w:eastAsia="宋体" w:cs="宋体"/>
          <w:color w:val="000000"/>
          <w:highlight w:val="none"/>
        </w:rPr>
      </w:pPr>
      <w:r>
        <w:rPr>
          <w:rFonts w:ascii="宋体" w:hAnsi="宋体" w:eastAsia="宋体" w:cs="宋体"/>
          <w:color w:val="000000"/>
          <w:highlight w:val="none"/>
        </w:rPr>
        <w:t xml:space="preserve">法定代表人签章：</w:t>
      </w:r>
      <w:r>
        <w:rPr>
          <w:rFonts w:ascii="宋体" w:hAnsi="宋体" w:eastAsia="宋体" w:cs="宋体"/>
          <w:color w:val="000000"/>
          <w:highlight w:val="none"/>
        </w:rPr>
      </w:r>
      <w:r/>
    </w:p>
    <w:p>
      <w:pPr>
        <w:pStyle w:val="1724"/>
        <w:spacing w:before="240" w:after="240"/>
        <w:rPr>
          <w:rFonts w:ascii="宋体" w:hAnsi="宋体" w:eastAsia="宋体" w:cs="宋体"/>
          <w:color w:val="000000"/>
          <w:highlight w:val="none"/>
        </w:rPr>
      </w:pPr>
      <w:r>
        <w:rPr>
          <w:rFonts w:ascii="宋体" w:hAnsi="宋体" w:eastAsia="宋体" w:cs="宋体"/>
          <w:color w:val="000000"/>
          <w:highlight w:val="none"/>
        </w:rPr>
        <w:t xml:space="preserve">日期：</w:t>
      </w:r>
      <w:r>
        <w:rPr>
          <w:rFonts w:ascii="宋体" w:hAnsi="宋体" w:eastAsia="宋体" w:cs="宋体"/>
          <w:color w:val="000000"/>
          <w:highlight w:val="none"/>
        </w:rPr>
      </w:r>
      <w:r/>
    </w:p>
    <w:p>
      <w:pPr>
        <w:pStyle w:val="1725"/>
        <w:jc w:val="center"/>
        <w:rPr>
          <w:color w:val="000000"/>
          <w:highlight w:val="none"/>
        </w:rPr>
        <w:outlineLvl w:val="2"/>
      </w:pPr>
      <w:r>
        <w:rPr>
          <w:color w:val="000000"/>
          <w:highlight w:val="none"/>
        </w:rPr>
        <w:br w:type="page" w:clear="all"/>
      </w:r>
      <w:bookmarkStart w:id="204" w:name="_Toc256000090"/>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三</w:t>
      </w:r>
      <w:r>
        <w:rPr>
          <w:rFonts w:ascii="宋体" w:hAnsi="宋体" w:eastAsia="宋体" w:cs="宋体"/>
          <w:color w:val="000000"/>
          <w:highlight w:val="none"/>
        </w:rPr>
        <w:t xml:space="preserve">)清单及明细报价表</w:t>
      </w:r>
      <w:bookmarkEnd w:id="204"/>
      <w:r>
        <w:rPr>
          <w:color w:val="000000"/>
          <w:highlight w:val="none"/>
        </w:rPr>
      </w:r>
      <w:r/>
    </w:p>
    <w:tbl>
      <w:tblPr>
        <w:tblW w:w="0" w:type="auto"/>
        <w:tblInd w:w="-15" w:type="dxa"/>
        <w:tblLayout w:type="autofit"/>
        <w:tblCellMar>
          <w:left w:w="108" w:type="dxa"/>
          <w:top w:w="0" w:type="dxa"/>
          <w:right w:w="108" w:type="dxa"/>
          <w:bottom w:w="0" w:type="dxa"/>
        </w:tblCellMar>
        <w:tblLook w:val="04A0" w:firstRow="1" w:lastRow="0" w:firstColumn="1" w:lastColumn="0" w:noHBand="0" w:noVBand="1"/>
      </w:tblPr>
      <w:tblGrid>
        <w:gridCol w:w="9477"/>
      </w:tblGrid>
      <w:tr>
        <w:trPr>
          <w:trHeight w:val="600"/>
        </w:trPr>
        <w:tc>
          <w:tcPr>
            <w:tcBorders>
              <w:top w:val="single" w:color="000000" w:sz="4" w:space="0"/>
              <w:left w:val="single" w:color="000000" w:sz="4" w:space="0"/>
              <w:bottom w:val="single" w:color="000000" w:sz="4" w:space="0"/>
              <w:right w:val="single" w:color="000000" w:sz="4" w:space="0"/>
            </w:tcBorders>
            <w:tcW w:w="9477" w:type="dxa"/>
            <w:vAlign w:val="center"/>
            <w:textDirection w:val="lrTb"/>
            <w:noWrap w:val="false"/>
          </w:tcPr>
          <w:p>
            <w:pPr>
              <w:pStyle w:val="1131"/>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工程量清单说明</w:t>
            </w:r>
            <w:r>
              <w:rPr>
                <w:rFonts w:hint="eastAsia" w:ascii="宋体" w:hAnsi="宋体" w:cs="宋体"/>
                <w:b/>
                <w:bCs/>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9477" w:type="dxa"/>
            <w:vAlign w:val="center"/>
            <w:textDirection w:val="lrTb"/>
            <w:noWrap w:val="false"/>
          </w:tcPr>
          <w:p>
            <w:pPr>
              <w:pStyle w:val="1131"/>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1、本工程量清单是根据招标文件有关规定编制。</w:t>
            </w: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9477" w:type="dxa"/>
            <w:vAlign w:val="center"/>
            <w:textDirection w:val="lrTb"/>
            <w:noWrap w:val="false"/>
          </w:tcPr>
          <w:p>
            <w:pPr>
              <w:pStyle w:val="1131"/>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2、本工程量清单应与招标文件中投标人须知、合同条款、技术规范等一起阅读和理解。</w:t>
            </w: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9477" w:type="dxa"/>
            <w:vAlign w:val="center"/>
            <w:textDirection w:val="lrTb"/>
            <w:noWrap w:val="false"/>
          </w:tcPr>
          <w:p>
            <w:pPr>
              <w:pStyle w:val="1131"/>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3、工程量清单中所列工程量的变动，丝毫不会降低或影响合同条款的效力，也不免除投标人按规定的标准进行施工和修复缺陷的责任。</w:t>
            </w:r>
            <w:r>
              <w:rPr>
                <w:rFonts w:hint="eastAsia" w:ascii="宋体" w:hAnsi="宋体" w:cs="宋体"/>
                <w:color w:val="000000"/>
                <w:sz w:val="24"/>
                <w:szCs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9477" w:type="dxa"/>
            <w:vAlign w:val="center"/>
            <w:textDirection w:val="lrTb"/>
            <w:noWrap w:val="false"/>
          </w:tcPr>
          <w:p>
            <w:pPr>
              <w:pStyle w:val="1131"/>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除非合同另有规定，工程量清单中有标价的单价和总额价均已包括了为实施和完成合同工程所需的劳务、材料、机械、质检（自检）、安装、缺陷修复、管理、保险、税费、利润等费用，以及合同明示或暗示的所有责任、义务和一般风险。</w:t>
            </w:r>
            <w:r>
              <w:rPr>
                <w:rFonts w:hint="eastAsia" w:ascii="宋体" w:hAnsi="宋体" w:cs="宋体"/>
                <w:color w:val="000000"/>
                <w:sz w:val="24"/>
                <w:szCs w:val="24"/>
                <w:highlight w:val="none"/>
              </w:rPr>
            </w:r>
            <w:r/>
          </w:p>
        </w:tc>
      </w:tr>
      <w:tr>
        <w:trPr>
          <w:trHeight w:val="1041"/>
        </w:trPr>
        <w:tc>
          <w:tcPr>
            <w:tcBorders>
              <w:top w:val="single" w:color="000000" w:sz="4" w:space="0"/>
              <w:left w:val="single" w:color="000000" w:sz="4" w:space="0"/>
              <w:bottom w:val="single" w:color="000000" w:sz="4" w:space="0"/>
              <w:right w:val="single" w:color="000000" w:sz="4" w:space="0"/>
            </w:tcBorders>
            <w:tcW w:w="9477" w:type="dxa"/>
            <w:vAlign w:val="center"/>
            <w:textDirection w:val="lrTb"/>
            <w:noWrap w:val="false"/>
          </w:tcPr>
          <w:p>
            <w:pPr>
              <w:pStyle w:val="1131"/>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工程量清单中投标人没有填入单价或价格的子目，其费用视为己分摊在工程量清单中其他相关子目的单价或价格之中。投标人必须按监理人指令完成工程量清单中未填入单价或价格的子目，但不能得到结算与支付。</w:t>
            </w:r>
            <w:r>
              <w:rPr>
                <w:rFonts w:hint="eastAsia" w:ascii="宋体" w:hAnsi="宋体" w:cs="宋体"/>
                <w:color w:val="000000"/>
                <w:sz w:val="24"/>
                <w:szCs w:val="24"/>
                <w:highlight w:val="none"/>
              </w:rPr>
            </w:r>
            <w:r/>
          </w:p>
        </w:tc>
      </w:tr>
      <w:tr>
        <w:trPr>
          <w:trHeight w:val="990"/>
        </w:trPr>
        <w:tc>
          <w:tcPr>
            <w:tcBorders>
              <w:top w:val="single" w:color="000000" w:sz="4" w:space="0"/>
              <w:left w:val="single" w:color="000000" w:sz="4" w:space="0"/>
              <w:bottom w:val="single" w:color="000000" w:sz="4" w:space="0"/>
              <w:right w:val="single" w:color="000000" w:sz="4" w:space="0"/>
            </w:tcBorders>
            <w:tcW w:w="9477" w:type="dxa"/>
            <w:vAlign w:val="center"/>
            <w:textDirection w:val="lrTb"/>
            <w:noWrap w:val="false"/>
          </w:tcPr>
          <w:p>
            <w:pPr>
              <w:pStyle w:val="1131"/>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6、符合合同条款规定的全部费用应认为已被计入有标价的工程量清单所列各子目之中，未列子目不予计量的工作，其费用应视为已分摊在本合同工程的有关子目的单价或总额价之中。</w:t>
            </w:r>
            <w:r>
              <w:rPr>
                <w:rFonts w:hint="eastAsia" w:ascii="宋体" w:hAnsi="宋体" w:cs="宋体"/>
                <w:color w:val="000000"/>
                <w:sz w:val="24"/>
                <w:szCs w:val="24"/>
                <w:highlight w:val="none"/>
              </w:rPr>
            </w:r>
            <w:r/>
          </w:p>
        </w:tc>
      </w:tr>
      <w:tr>
        <w:trPr>
          <w:trHeight w:val="1299"/>
        </w:trPr>
        <w:tc>
          <w:tcPr>
            <w:tcBorders>
              <w:top w:val="single" w:color="000000" w:sz="4" w:space="0"/>
              <w:left w:val="single" w:color="000000" w:sz="4" w:space="0"/>
              <w:bottom w:val="single" w:color="000000" w:sz="4" w:space="0"/>
              <w:right w:val="single" w:color="000000" w:sz="4" w:space="0"/>
            </w:tcBorders>
            <w:tcW w:w="9477" w:type="dxa"/>
            <w:vAlign w:val="center"/>
            <w:textDirection w:val="lrTb"/>
            <w:noWrap w:val="false"/>
          </w:tcPr>
          <w:p>
            <w:pPr>
              <w:pStyle w:val="1131"/>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工程量清单中“安装辅材”，对于所有为完成设备安装和调试所需的，但未在工程量清单中列出的材料和相应规格的线缆（包括电源配线、信号线、控制线、插头、接头、光纤跳线、HDMI视频跳线、电源适配器、音频、接地线缆、接线盒、8口小交换机、扎带、光缆、光端机等，以及对预埋管的试通与整改等），费用包含在清单总价中。投标人应根据本项目情况及以往工程经验进行综合报价，项目实施过程中数量、单价均不做调整。</w:t>
            </w:r>
            <w:r>
              <w:rPr>
                <w:rFonts w:hint="eastAsia" w:ascii="宋体" w:hAnsi="宋体" w:cs="宋体"/>
                <w:color w:val="000000"/>
                <w:sz w:val="24"/>
                <w:szCs w:val="24"/>
                <w:highlight w:val="none"/>
              </w:rPr>
            </w:r>
            <w:r/>
          </w:p>
        </w:tc>
      </w:tr>
      <w:tr>
        <w:trPr>
          <w:trHeight w:val="1059"/>
        </w:trPr>
        <w:tc>
          <w:tcPr>
            <w:tcBorders>
              <w:top w:val="single" w:color="000000" w:sz="4" w:space="0"/>
              <w:left w:val="single" w:color="000000" w:sz="4" w:space="0"/>
              <w:bottom w:val="single" w:color="000000" w:sz="4" w:space="0"/>
              <w:right w:val="single" w:color="000000" w:sz="4" w:space="0"/>
            </w:tcBorders>
            <w:tcW w:w="9477" w:type="dxa"/>
            <w:vAlign w:val="center"/>
            <w:textDirection w:val="lrTb"/>
            <w:noWrap w:val="false"/>
          </w:tcPr>
          <w:p>
            <w:pPr>
              <w:pStyle w:val="1131"/>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工程量清单中“现有拼接屏及相关业务迁移”，包括大屏和大屏支架拆卸、重新组装、调试，大屏供电、通信、控制设备等恢复，以及迁移后供电通信恢复所需要的线缆、管道、线缆槽等，费用包含在清单总价中。投标人应根据本项目情况及以往工程经验进行综合报价，项目实施过程中数量、单价均不做调整。</w:t>
            </w:r>
            <w:r>
              <w:rPr>
                <w:rFonts w:hint="eastAsia" w:ascii="宋体" w:hAnsi="宋体" w:cs="宋体"/>
                <w:color w:val="000000"/>
                <w:sz w:val="24"/>
                <w:szCs w:val="24"/>
                <w:highlight w:val="none"/>
              </w:rPr>
            </w:r>
            <w:r/>
          </w:p>
        </w:tc>
      </w:tr>
      <w:tr>
        <w:trPr>
          <w:trHeight w:val="1371"/>
        </w:trPr>
        <w:tc>
          <w:tcPr>
            <w:tcBorders>
              <w:top w:val="single" w:color="000000" w:sz="4" w:space="0"/>
              <w:left w:val="single" w:color="000000" w:sz="4" w:space="0"/>
              <w:bottom w:val="single" w:color="000000" w:sz="4" w:space="0"/>
              <w:right w:val="single" w:color="000000" w:sz="4" w:space="0"/>
            </w:tcBorders>
            <w:tcW w:w="9477" w:type="dxa"/>
            <w:vAlign w:val="center"/>
            <w:textDirection w:val="lrTb"/>
            <w:noWrap w:val="false"/>
          </w:tcPr>
          <w:p>
            <w:pPr>
              <w:pStyle w:val="1131"/>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工程量清单中“现有网络设施、其他设施迁移、恢复”，包括现有监控大厅机房内外网所涉及的所有设施（包括但不限于光缆、传输设备、网络设施等）迁移、重新安装、调试、恢复等，以及迁移后供电通信恢复所需要的线缆（电缆、光缆、网线等）、管道、线缆槽等，费用包含在清单总价中。投标人应根据本项目情况及以往工程经验进行综合报价，项目实施过程中数量、单价均不做调整。</w:t>
            </w:r>
            <w:r>
              <w:rPr>
                <w:rFonts w:hint="eastAsia" w:ascii="宋体" w:hAnsi="宋体" w:cs="宋体"/>
                <w:color w:val="000000"/>
                <w:sz w:val="24"/>
                <w:szCs w:val="24"/>
                <w:highlight w:val="none"/>
              </w:rPr>
            </w:r>
            <w:r/>
          </w:p>
        </w:tc>
      </w:tr>
      <w:tr>
        <w:trPr>
          <w:trHeight w:val="1371"/>
        </w:trPr>
        <w:tc>
          <w:tcPr>
            <w:tcBorders>
              <w:top w:val="single" w:color="000000" w:sz="4" w:space="0"/>
              <w:left w:val="single" w:color="000000" w:sz="4" w:space="0"/>
              <w:bottom w:val="single" w:color="000000" w:sz="4" w:space="0"/>
              <w:right w:val="single" w:color="000000" w:sz="4" w:space="0"/>
            </w:tcBorders>
            <w:tcW w:w="9477" w:type="dxa"/>
            <w:vAlign w:val="center"/>
            <w:textDirection w:val="lrTb"/>
            <w:noWrap w:val="false"/>
          </w:tcPr>
          <w:p>
            <w:pPr>
              <w:pStyle w:val="1131"/>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10、投标人需对机电系统和环境提升工程（装修系统）进行整体考虑、并结合设备和装修风格进行二次深化设计，与业主单位协商后，得到业主单位书面确认后方可实施，包括但不仅限于软件功能界面，控制台颜色、样式、功能，机电设施位置、开孔、预留，管线预留、管线迁移接入调试，吊顶、玄关、强弱电走线、强弱电插座，装修风格、样式等。如因投标人未得到确认实施导致无法移交的，由投标人按要求重新整改，相关费用认为已包含在投标费用内。</w:t>
            </w:r>
            <w:r>
              <w:rPr>
                <w:rFonts w:hint="eastAsia" w:ascii="宋体" w:hAnsi="宋体" w:cs="宋体"/>
                <w:color w:val="000000"/>
                <w:sz w:val="24"/>
                <w:szCs w:val="24"/>
                <w:highlight w:val="none"/>
              </w:rPr>
            </w:r>
            <w:r/>
          </w:p>
        </w:tc>
      </w:tr>
      <w:tr>
        <w:trPr>
          <w:trHeight w:val="1110"/>
        </w:trPr>
        <w:tc>
          <w:tcPr>
            <w:tcBorders>
              <w:top w:val="single" w:color="000000" w:sz="4" w:space="0"/>
              <w:left w:val="single" w:color="000000" w:sz="4" w:space="0"/>
              <w:bottom w:val="single" w:color="000000" w:sz="4" w:space="0"/>
              <w:right w:val="single" w:color="000000" w:sz="4" w:space="0"/>
            </w:tcBorders>
            <w:tcW w:w="9477" w:type="dxa"/>
            <w:vAlign w:val="center"/>
            <w:textDirection w:val="lrTb"/>
            <w:noWrap w:val="false"/>
          </w:tcPr>
          <w:p>
            <w:pPr>
              <w:pStyle w:val="1131"/>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11、投标人应结合招标工程量及图纸理解工程实施范围，图纸和工程量所含的内容已全部包含在项目招标范围内，投标人应根据本项目情况及以往工程经验进行综合报价，相关费用已包括在工程量清单的单价与总额价之中。项目实施过程中数量、单价均不做调整。</w:t>
            </w:r>
            <w:r>
              <w:rPr>
                <w:rFonts w:hint="eastAsia" w:ascii="宋体" w:hAnsi="宋体" w:cs="宋体"/>
                <w:color w:val="000000"/>
                <w:sz w:val="24"/>
                <w:szCs w:val="24"/>
                <w:highlight w:val="none"/>
              </w:rPr>
            </w:r>
            <w:r/>
          </w:p>
        </w:tc>
      </w:tr>
      <w:tr>
        <w:trPr>
          <w:trHeight w:val="711"/>
        </w:trPr>
        <w:tc>
          <w:tcPr>
            <w:tcBorders>
              <w:top w:val="single" w:color="000000" w:sz="4" w:space="0"/>
              <w:left w:val="single" w:color="000000" w:sz="4" w:space="0"/>
              <w:bottom w:val="single" w:color="000000" w:sz="4" w:space="0"/>
              <w:right w:val="single" w:color="000000" w:sz="4" w:space="0"/>
            </w:tcBorders>
            <w:tcW w:w="9477" w:type="dxa"/>
            <w:vAlign w:val="center"/>
            <w:textDirection w:val="lrTb"/>
            <w:noWrap w:val="false"/>
          </w:tcPr>
          <w:p>
            <w:pPr>
              <w:pStyle w:val="1131"/>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12、投标人用于本合同工程的各类装备的提供、运输、维护、拆卸、拼装等支付的费用，已包括在工程量清单的单价与总额价之中。</w:t>
            </w: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9477" w:type="dxa"/>
            <w:vAlign w:val="center"/>
            <w:textDirection w:val="lrTb"/>
            <w:noWrap w:val="false"/>
          </w:tcPr>
          <w:p>
            <w:pPr>
              <w:pStyle w:val="1131"/>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13、投标人负责对业主提供的设备进行安装调试，相关费用已包括在工程量清单的单价与总额价之中。</w:t>
            </w: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9477" w:type="dxa"/>
            <w:vAlign w:val="center"/>
            <w:textDirection w:val="lrTb"/>
            <w:noWrap w:val="false"/>
          </w:tcPr>
          <w:p>
            <w:pPr>
              <w:pStyle w:val="1131"/>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14、暂定金额按清单合计的1%计在合同价中。</w:t>
            </w: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9477" w:type="dxa"/>
            <w:vAlign w:val="center"/>
            <w:textDirection w:val="lrTb"/>
            <w:noWrap w:val="false"/>
          </w:tcPr>
          <w:p>
            <w:pPr>
              <w:pStyle w:val="1131"/>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15、工程量清单中各项金额均以人民币（元）结算。</w:t>
            </w:r>
            <w:r>
              <w:rPr>
                <w:rFonts w:hint="eastAsia" w:ascii="宋体" w:hAnsi="宋体" w:cs="宋体"/>
                <w:color w:val="000000"/>
                <w:sz w:val="24"/>
                <w:szCs w:val="24"/>
                <w:highlight w:val="none"/>
              </w:rPr>
            </w:r>
            <w:r/>
          </w:p>
        </w:tc>
      </w:tr>
    </w:tbl>
    <w:p>
      <w:pPr>
        <w:pStyle w:val="1726"/>
        <w:ind w:left="-283" w:firstLine="480"/>
        <w:spacing w:line="360" w:lineRule="auto"/>
        <w:rPr>
          <w:rFonts w:ascii="宋体" w:hAnsi="宋体"/>
          <w:color w:val="000000"/>
          <w:sz w:val="24"/>
          <w:szCs w:val="24"/>
          <w:highlight w:val="none"/>
          <w:u w:val="single"/>
        </w:rPr>
      </w:pPr>
      <w:r>
        <w:rPr>
          <w:rFonts w:ascii="宋体" w:hAnsi="宋体"/>
          <w:color w:val="000000"/>
          <w:sz w:val="24"/>
          <w:szCs w:val="24"/>
          <w:highlight w:val="none"/>
          <w:u w:val="single"/>
        </w:rPr>
      </w:r>
      <w:r/>
    </w:p>
    <w:p>
      <w:pPr>
        <w:pStyle w:val="1727"/>
        <w:jc w:val="center"/>
        <w:rPr>
          <w:color w:val="000000"/>
          <w:highlight w:val="none"/>
        </w:rPr>
        <w:sectPr>
          <w:headerReference w:type="default" r:id="rId18"/>
          <w:headerReference w:type="first" r:id="rId19"/>
          <w:footnotePr/>
          <w:endnotePr/>
          <w:type w:val="nextPage"/>
          <w:pgSz w:w="11905" w:h="16838" w:orient="portrait"/>
          <w:pgMar w:top="1134" w:right="1134" w:bottom="1134" w:left="1417" w:header="850" w:footer="850" w:gutter="0"/>
          <w:cols w:num="1" w:sep="0" w:space="1701" w:equalWidth="1"/>
          <w:docGrid w:linePitch="360"/>
        </w:sectPr>
        <w:outlineLvl w:val="1"/>
      </w:pPr>
      <w:r>
        <w:rPr>
          <w:color w:val="000000"/>
          <w:highlight w:val="none"/>
        </w:rPr>
      </w:r>
      <w:r/>
    </w:p>
    <w:p>
      <w:pPr>
        <w:pStyle w:val="1727"/>
        <w:jc w:val="center"/>
        <w:rPr>
          <w:rFonts w:hint="eastAsia" w:eastAsia="宋体"/>
          <w:color w:val="000000"/>
          <w:highlight w:val="none"/>
        </w:rPr>
        <w:outlineLvl w:val="1"/>
      </w:pPr>
      <w:r>
        <w:rPr>
          <w:rFonts w:hint="eastAsia" w:eastAsia="宋体"/>
          <w:color w:val="000000"/>
          <w:highlight w:val="none"/>
        </w:rPr>
        <w:t xml:space="preserve">清单汇总表</w:t>
      </w:r>
      <w:r>
        <w:rPr>
          <w:rFonts w:hint="eastAsia" w:eastAsia="宋体"/>
          <w:color w:val="000000"/>
          <w:highlight w:val="none"/>
        </w:rPr>
      </w:r>
      <w:r/>
    </w:p>
    <w:tbl>
      <w:tblPr>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1326"/>
        <w:gridCol w:w="4324"/>
        <w:gridCol w:w="2250"/>
        <w:gridCol w:w="1440"/>
      </w:tblGrid>
      <w:tr>
        <w:trPr>
          <w:trHeight w:val="600"/>
        </w:trPr>
        <w:tc>
          <w:tcPr>
            <w:gridSpan w:val="2"/>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序号</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金额</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备注</w:t>
            </w: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324"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机电设施</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324"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环境提升</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324" w:type="dxa"/>
            <w:vAlign w:val="center"/>
            <w:textDirection w:val="lrTb"/>
            <w:noWrap/>
          </w:tcPr>
          <w:p>
            <w:pPr>
              <w:pStyle w:val="113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小计A（机电设施+装修设施）</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gridSpan w:val="2"/>
            <w:tcBorders>
              <w:top w:val="single" w:color="000000" w:sz="4" w:space="0"/>
              <w:left w:val="single" w:color="000000" w:sz="4" w:space="0"/>
              <w:bottom w:val="single" w:color="000000" w:sz="4" w:space="0"/>
              <w:right w:val="single" w:color="000000" w:sz="4" w:space="0"/>
            </w:tcBorders>
            <w:tcW w:w="565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增加1%清单小计作为暂定金额B=A*1%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gridSpan w:val="2"/>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合计（A+B）</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1727"/>
        <w:jc w:val="center"/>
        <w:rPr>
          <w:color w:val="000000"/>
          <w:highlight w:val="none"/>
        </w:rPr>
        <w:sectPr>
          <w:footnotePr/>
          <w:endnotePr/>
          <w:type w:val="nextPage"/>
          <w:pgSz w:w="11905" w:h="16838" w:orient="portrait"/>
          <w:pgMar w:top="1134" w:right="1134" w:bottom="1134" w:left="1417" w:header="850" w:footer="850" w:gutter="0"/>
          <w:cols w:num="1" w:sep="0" w:space="1701" w:equalWidth="1"/>
          <w:docGrid w:linePitch="360"/>
        </w:sectPr>
        <w:outlineLvl w:val="1"/>
      </w:pPr>
      <w:r>
        <w:rPr>
          <w:color w:val="000000"/>
          <w:highlight w:val="none"/>
        </w:rPr>
      </w:r>
      <w:r/>
    </w:p>
    <w:p>
      <w:pPr>
        <w:pStyle w:val="1727"/>
        <w:jc w:val="center"/>
        <w:rPr>
          <w:rFonts w:hint="eastAsia" w:eastAsia="宋体"/>
          <w:color w:val="000000"/>
          <w:highlight w:val="none"/>
        </w:rPr>
        <w:outlineLvl w:val="1"/>
      </w:pPr>
      <w:r>
        <w:rPr>
          <w:rFonts w:hint="eastAsia" w:eastAsia="宋体"/>
          <w:color w:val="000000"/>
          <w:highlight w:val="none"/>
        </w:rPr>
        <w:t xml:space="preserve">机电设施部分工程量清单</w:t>
      </w:r>
      <w:r>
        <w:rPr>
          <w:rFonts w:hint="eastAsia" w:eastAsia="宋体"/>
          <w:color w:val="000000"/>
          <w:highlight w:val="none"/>
        </w:rPr>
      </w:r>
      <w:r/>
    </w:p>
    <w:tbl>
      <w:tblPr>
        <w:tblW w:w="4998" w:type="pct"/>
        <w:tblInd w:w="-108" w:type="dxa"/>
        <w:tblLayout w:type="fixed"/>
        <w:tblCellMar>
          <w:left w:w="108" w:type="dxa"/>
          <w:top w:w="0" w:type="dxa"/>
          <w:right w:w="108" w:type="dxa"/>
          <w:bottom w:w="0" w:type="dxa"/>
        </w:tblCellMar>
        <w:tblLook w:val="04A0" w:firstRow="1" w:lastRow="0" w:firstColumn="1" w:lastColumn="0" w:noHBand="0" w:noVBand="1"/>
      </w:tblPr>
      <w:tblGrid>
        <w:gridCol w:w="709"/>
        <w:gridCol w:w="2707"/>
        <w:gridCol w:w="884"/>
        <w:gridCol w:w="1309"/>
        <w:gridCol w:w="805"/>
        <w:gridCol w:w="805"/>
        <w:gridCol w:w="1251"/>
        <w:gridCol w:w="1096"/>
      </w:tblGrid>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序号</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名称</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品牌</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131"/>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规格型号</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单位</w:t>
            </w:r>
            <w:r>
              <w:rPr>
                <w:rFonts w:hint="eastAsia" w:ascii="宋体" w:hAnsi="宋体" w:cs="宋体"/>
                <w:b/>
                <w:bCs/>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数量</w:t>
            </w:r>
            <w:r>
              <w:rPr>
                <w:rFonts w:hint="eastAsia" w:ascii="宋体" w:hAnsi="宋体" w:cs="宋体"/>
                <w:b/>
                <w:bCs/>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综合单价</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合价</w:t>
            </w:r>
            <w:r>
              <w:rPr>
                <w:rFonts w:hint="eastAsia" w:ascii="宋体" w:hAnsi="宋体" w:cs="宋体"/>
                <w:b/>
                <w:bCs/>
                <w:color w:val="000000"/>
                <w:sz w:val="24"/>
                <w:szCs w:val="24"/>
                <w:highlight w:val="none"/>
              </w:rPr>
            </w:r>
            <w:r/>
          </w:p>
        </w:tc>
      </w:tr>
      <w:tr>
        <w:trPr>
          <w:trHeight w:val="285"/>
        </w:trPr>
        <w:tc>
          <w:tcPr>
            <w:gridSpan w:val="8"/>
            <w:tcBorders>
              <w:top w:val="single" w:color="000000" w:sz="4" w:space="0"/>
              <w:left w:val="single" w:color="000000" w:sz="4" w:space="0"/>
              <w:bottom w:val="single" w:color="000000" w:sz="4" w:space="0"/>
              <w:right w:val="single" w:color="000000" w:sz="4" w:space="0"/>
            </w:tcBorders>
            <w:tcW w:w="9566" w:type="dxa"/>
            <w:vAlign w:val="center"/>
            <w:textDirection w:val="lrTb"/>
            <w:noWrap/>
          </w:tcPr>
          <w:p>
            <w:pPr>
              <w:pStyle w:val="1131"/>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一、显示系统</w:t>
            </w:r>
            <w:r>
              <w:rPr>
                <w:rFonts w:hint="eastAsia" w:ascii="宋体" w:hAnsi="宋体" w:cs="宋体"/>
                <w:b/>
                <w:bCs/>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监控大厅显示屏</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平方</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15.59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主屏框架结构及包边</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6"/>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主屏控制箱（配电箱）</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6"/>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信息展示屏</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综合视频管理平台迁移重新安装</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辅材</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gridSpan w:val="7"/>
            <w:tcBorders>
              <w:top w:val="single" w:color="000000" w:sz="4" w:space="0"/>
              <w:left w:val="single" w:color="000000" w:sz="4" w:space="0"/>
              <w:bottom w:val="single" w:color="000000" w:sz="4" w:space="0"/>
              <w:right w:val="single" w:color="000000" w:sz="4" w:space="0"/>
            </w:tcBorders>
            <w:tcW w:w="8470"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小计1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gridSpan w:val="8"/>
            <w:tcBorders>
              <w:top w:val="single" w:color="000000" w:sz="4" w:space="0"/>
              <w:left w:val="single" w:color="000000" w:sz="4" w:space="0"/>
              <w:bottom w:val="single" w:color="000000" w:sz="4" w:space="0"/>
              <w:right w:val="single" w:color="000000" w:sz="4" w:space="0"/>
            </w:tcBorders>
            <w:tcW w:w="9566" w:type="dxa"/>
            <w:vAlign w:val="center"/>
            <w:textDirection w:val="lrTb"/>
            <w:noWrap/>
          </w:tcPr>
          <w:p>
            <w:pPr>
              <w:pStyle w:val="1131"/>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二、大厅扩声系统</w:t>
            </w:r>
            <w:r>
              <w:rPr>
                <w:rFonts w:hint="eastAsia" w:ascii="宋体" w:hAnsi="宋体" w:cs="宋体"/>
                <w:b/>
                <w:bCs/>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现有大厅扩声系统迁移、重新安装</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线缆及辅材</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gridSpan w:val="7"/>
            <w:tcBorders>
              <w:top w:val="single" w:color="000000" w:sz="4" w:space="0"/>
              <w:left w:val="single" w:color="000000" w:sz="4" w:space="0"/>
              <w:bottom w:val="single" w:color="000000" w:sz="4" w:space="0"/>
              <w:right w:val="single" w:color="000000" w:sz="4" w:space="0"/>
            </w:tcBorders>
            <w:tcW w:w="8470"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小计2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gridSpan w:val="8"/>
            <w:tcBorders>
              <w:top w:val="single" w:color="000000" w:sz="4" w:space="0"/>
              <w:left w:val="single" w:color="000000" w:sz="4" w:space="0"/>
              <w:bottom w:val="single" w:color="000000" w:sz="4" w:space="0"/>
              <w:right w:val="single" w:color="000000" w:sz="4" w:space="0"/>
            </w:tcBorders>
            <w:tcW w:w="9566" w:type="dxa"/>
            <w:vAlign w:val="center"/>
            <w:textDirection w:val="lrTb"/>
            <w:noWrap w:val="false"/>
          </w:tcPr>
          <w:p>
            <w:pPr>
              <w:pStyle w:val="1131"/>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三、分布式系统 </w:t>
            </w:r>
            <w:r>
              <w:rPr>
                <w:rFonts w:hint="eastAsia" w:ascii="宋体" w:hAnsi="宋体" w:cs="宋体"/>
                <w:b/>
                <w:bCs/>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分布式输入节点</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台</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分布式拼接输出节点</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台</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分布式矩阵输出节点</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台</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分布式拼接授权</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台</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分布式节点工装</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台</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分布式数据处理中心</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平板电脑</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gridSpan w:val="7"/>
            <w:tcBorders>
              <w:top w:val="single" w:color="000000" w:sz="4" w:space="0"/>
              <w:left w:val="single" w:color="000000" w:sz="4" w:space="0"/>
              <w:bottom w:val="single" w:color="000000" w:sz="4" w:space="0"/>
              <w:right w:val="single" w:color="000000" w:sz="4" w:space="0"/>
            </w:tcBorders>
            <w:tcW w:w="8470"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小计3</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gridSpan w:val="8"/>
            <w:tcBorders>
              <w:top w:val="single" w:color="000000" w:sz="4" w:space="0"/>
              <w:left w:val="single" w:color="000000" w:sz="4" w:space="0"/>
              <w:bottom w:val="single" w:color="000000" w:sz="4" w:space="0"/>
              <w:right w:val="single" w:color="000000" w:sz="4" w:space="0"/>
            </w:tcBorders>
            <w:tcW w:w="9566" w:type="dxa"/>
            <w:vAlign w:val="center"/>
            <w:textDirection w:val="lrTb"/>
            <w:noWrap w:val="false"/>
          </w:tcPr>
          <w:p>
            <w:pPr>
              <w:pStyle w:val="1131"/>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四、视频会议系统</w:t>
            </w:r>
            <w:r>
              <w:rPr>
                <w:rFonts w:hint="eastAsia" w:ascii="宋体" w:hAnsi="宋体" w:cs="宋体"/>
                <w:b/>
                <w:bCs/>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视频会议主机</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视频会议摄像机（含三角支架）</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接入现有网络</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gridSpan w:val="7"/>
            <w:tcBorders>
              <w:top w:val="single" w:color="000000" w:sz="4" w:space="0"/>
              <w:left w:val="single" w:color="000000" w:sz="4" w:space="0"/>
              <w:bottom w:val="single" w:color="000000" w:sz="4" w:space="0"/>
              <w:right w:val="single" w:color="000000" w:sz="4" w:space="0"/>
            </w:tcBorders>
            <w:tcW w:w="8470"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小计4</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gridSpan w:val="8"/>
            <w:tcBorders>
              <w:top w:val="single" w:color="000000" w:sz="4" w:space="0"/>
              <w:left w:val="single" w:color="000000" w:sz="4" w:space="0"/>
              <w:bottom w:val="single" w:color="000000" w:sz="4" w:space="0"/>
              <w:right w:val="single" w:color="000000" w:sz="4" w:space="0"/>
            </w:tcBorders>
            <w:tcW w:w="9566" w:type="dxa"/>
            <w:vAlign w:val="center"/>
            <w:textDirection w:val="lrTb"/>
            <w:noWrap/>
          </w:tcPr>
          <w:p>
            <w:pPr>
              <w:pStyle w:val="1131"/>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五、大厅系统</w:t>
            </w:r>
            <w:r>
              <w:rPr>
                <w:rFonts w:hint="eastAsia" w:ascii="宋体" w:hAnsi="宋体" w:cs="宋体"/>
                <w:b/>
                <w:bCs/>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综合控制工位</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位</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观摩工位</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位</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工作站</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综合配线单元</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42U标准机柜</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空调</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现有空调迁移、恢复</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门禁设施及动环监测</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门禁控制器</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读卡器（密码、指纹）</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8.3</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开门按钮</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8.4</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双门/单门磁力锁</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8.5</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门禁控制箱及电源</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8.6</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智能温湿度传感器</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8.7</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烟感探测器</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8.8</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水浸传感器</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8.9</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监控摄像机</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辅材</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gridSpan w:val="7"/>
            <w:tcBorders>
              <w:top w:val="single" w:color="000000" w:sz="4" w:space="0"/>
              <w:left w:val="single" w:color="000000" w:sz="4" w:space="0"/>
              <w:bottom w:val="single" w:color="000000" w:sz="4" w:space="0"/>
              <w:right w:val="single" w:color="000000" w:sz="4" w:space="0"/>
            </w:tcBorders>
            <w:tcW w:w="8470"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小计5</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gridSpan w:val="8"/>
            <w:tcBorders>
              <w:top w:val="single" w:color="000000" w:sz="4" w:space="0"/>
              <w:left w:val="single" w:color="000000" w:sz="4" w:space="0"/>
              <w:bottom w:val="single" w:color="000000" w:sz="4" w:space="0"/>
              <w:right w:val="single" w:color="000000" w:sz="4" w:space="0"/>
            </w:tcBorders>
            <w:tcW w:w="9566" w:type="dxa"/>
            <w:vAlign w:val="center"/>
            <w:textDirection w:val="lrTb"/>
            <w:noWrap/>
          </w:tcPr>
          <w:p>
            <w:pPr>
              <w:pStyle w:val="1131"/>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六、综合布线</w:t>
            </w:r>
            <w:r>
              <w:rPr>
                <w:rFonts w:hint="eastAsia" w:ascii="宋体" w:hAnsi="宋体" w:cs="宋体"/>
                <w:b/>
                <w:bCs/>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防静电地板</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平方</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130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线缆槽/桥架</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60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现有配电箱改造</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配电箱</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电缆</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60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电缆</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80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shd w:val="clear" w:color="auto" w:fill="ffff00"/>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w:t>
            </w:r>
            <w:r>
              <w:rPr>
                <w:rFonts w:hint="eastAsia" w:ascii="宋体" w:hAnsi="宋体" w:cs="宋体"/>
                <w:color w:val="000000"/>
                <w:sz w:val="24"/>
                <w:szCs w:val="24"/>
                <w:highlight w:val="none"/>
              </w:rPr>
            </w:r>
            <w:r/>
          </w:p>
        </w:tc>
        <w:tc>
          <w:tcPr>
            <w:shd w:val="clear" w:color="auto" w:fill="ffff00"/>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网线</w:t>
            </w:r>
            <w:r>
              <w:rPr>
                <w:rFonts w:hint="eastAsia" w:ascii="宋体" w:hAnsi="宋体" w:cs="宋体"/>
                <w:color w:val="000000"/>
                <w:sz w:val="24"/>
                <w:szCs w:val="24"/>
                <w:highlight w:val="none"/>
              </w:rPr>
            </w:r>
            <w:r/>
          </w:p>
        </w:tc>
        <w:tc>
          <w:tcPr>
            <w:shd w:val="clear" w:color="auto" w:fill="ffff00"/>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shd w:val="clear" w:color="auto" w:fill="ffff00"/>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shd w:val="clear" w:color="auto" w:fill="ffff00"/>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米</w:t>
            </w:r>
            <w:r>
              <w:rPr>
                <w:rFonts w:hint="eastAsia" w:ascii="宋体" w:hAnsi="宋体" w:cs="宋体"/>
                <w:color w:val="000000"/>
                <w:sz w:val="24"/>
                <w:szCs w:val="24"/>
                <w:highlight w:val="none"/>
              </w:rPr>
            </w:r>
            <w:r/>
          </w:p>
        </w:tc>
        <w:tc>
          <w:tcPr>
            <w:shd w:val="clear" w:color="auto" w:fill="ffff00"/>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305 </w:t>
            </w:r>
            <w:r>
              <w:rPr>
                <w:rFonts w:hint="eastAsia" w:ascii="宋体" w:hAnsi="宋体" w:cs="宋体"/>
                <w:color w:val="000000"/>
                <w:sz w:val="24"/>
                <w:szCs w:val="24"/>
                <w:highlight w:val="none"/>
              </w:rPr>
            </w:r>
            <w:r/>
          </w:p>
        </w:tc>
        <w:tc>
          <w:tcPr>
            <w:shd w:val="clear" w:color="auto" w:fill="ffff00"/>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shd w:val="clear" w:color="auto" w:fill="ffff00"/>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理线器</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六类24口网络配线架</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汇聚交换机</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HDMI线</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60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辅材</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gridSpan w:val="7"/>
            <w:tcBorders>
              <w:top w:val="single" w:color="000000" w:sz="4" w:space="0"/>
              <w:left w:val="single" w:color="000000" w:sz="4" w:space="0"/>
              <w:bottom w:val="single" w:color="000000" w:sz="4" w:space="0"/>
              <w:right w:val="single" w:color="000000" w:sz="4" w:space="0"/>
            </w:tcBorders>
            <w:tcW w:w="8470"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小计6</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gridSpan w:val="8"/>
            <w:tcBorders>
              <w:top w:val="single" w:color="000000" w:sz="4" w:space="0"/>
              <w:left w:val="single" w:color="000000" w:sz="4" w:space="0"/>
              <w:bottom w:val="single" w:color="000000" w:sz="4" w:space="0"/>
              <w:right w:val="single" w:color="000000" w:sz="4" w:space="0"/>
            </w:tcBorders>
            <w:tcW w:w="9566" w:type="dxa"/>
            <w:vAlign w:val="center"/>
            <w:textDirection w:val="lrTb"/>
            <w:noWrap/>
          </w:tcPr>
          <w:p>
            <w:pPr>
              <w:pStyle w:val="1131"/>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七、智慧调度系统</w:t>
            </w:r>
            <w:r>
              <w:rPr>
                <w:rFonts w:hint="eastAsia" w:ascii="宋体" w:hAnsi="宋体" w:cs="宋体"/>
                <w:b/>
                <w:bCs/>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移动取证云台套装租用</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单兵租用</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智慧公路综合监测平台授权</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云资源租用</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gridSpan w:val="7"/>
            <w:tcBorders>
              <w:top w:val="single" w:color="000000" w:sz="4" w:space="0"/>
              <w:left w:val="single" w:color="000000" w:sz="4" w:space="0"/>
              <w:bottom w:val="single" w:color="000000" w:sz="4" w:space="0"/>
              <w:right w:val="single" w:color="000000" w:sz="4" w:space="0"/>
            </w:tcBorders>
            <w:tcW w:w="8470"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小计7</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gridSpan w:val="8"/>
            <w:tcBorders>
              <w:top w:val="single" w:color="000000" w:sz="4" w:space="0"/>
              <w:left w:val="single" w:color="000000" w:sz="4" w:space="0"/>
              <w:bottom w:val="single" w:color="000000" w:sz="4" w:space="0"/>
              <w:right w:val="single" w:color="000000" w:sz="4" w:space="0"/>
            </w:tcBorders>
            <w:tcW w:w="9566" w:type="dxa"/>
            <w:vAlign w:val="center"/>
            <w:textDirection w:val="lrTb"/>
            <w:noWrap/>
          </w:tcPr>
          <w:p>
            <w:pPr>
              <w:pStyle w:val="1131"/>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八、配套工作</w:t>
            </w:r>
            <w:r>
              <w:rPr>
                <w:rFonts w:hint="eastAsia" w:ascii="宋体" w:hAnsi="宋体" w:cs="宋体"/>
                <w:b/>
                <w:bCs/>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现有拼接屏及相关业务迁移</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手提式七氟丙烷灭火器</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现有网络设施、其他设施迁移、恢复</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gridSpan w:val="7"/>
            <w:tcBorders>
              <w:top w:val="single" w:color="000000" w:sz="4" w:space="0"/>
              <w:left w:val="single" w:color="000000" w:sz="4" w:space="0"/>
              <w:bottom w:val="single" w:color="000000" w:sz="4" w:space="0"/>
              <w:right w:val="single" w:color="000000" w:sz="4" w:space="0"/>
            </w:tcBorders>
            <w:tcW w:w="8470"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小计8</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gridSpan w:val="7"/>
            <w:tcBorders>
              <w:top w:val="single" w:color="000000" w:sz="4" w:space="0"/>
              <w:left w:val="single" w:color="000000" w:sz="4" w:space="0"/>
              <w:bottom w:val="single" w:color="000000" w:sz="4" w:space="0"/>
              <w:right w:val="single" w:color="000000" w:sz="4" w:space="0"/>
            </w:tcBorders>
            <w:tcW w:w="8470"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清单小计A</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1727"/>
        <w:jc w:val="center"/>
        <w:rPr>
          <w:color w:val="000000"/>
          <w:highlight w:val="none"/>
        </w:rPr>
        <w:sectPr>
          <w:footnotePr/>
          <w:endnotePr/>
          <w:type w:val="nextPage"/>
          <w:pgSz w:w="11905" w:h="16838" w:orient="portrait"/>
          <w:pgMar w:top="1134" w:right="1134" w:bottom="1134" w:left="1417" w:header="850" w:footer="850" w:gutter="0"/>
          <w:cols w:num="1" w:sep="0" w:space="1701" w:equalWidth="1"/>
          <w:docGrid w:linePitch="360"/>
        </w:sectPr>
        <w:outlineLvl w:val="1"/>
      </w:pPr>
      <w:r>
        <w:rPr>
          <w:color w:val="000000"/>
          <w:highlight w:val="none"/>
        </w:rPr>
      </w:r>
      <w:r/>
    </w:p>
    <w:p>
      <w:pPr>
        <w:pStyle w:val="1727"/>
        <w:jc w:val="center"/>
        <w:rPr>
          <w:rFonts w:hint="eastAsia" w:eastAsia="宋体"/>
          <w:color w:val="000000"/>
          <w:highlight w:val="none"/>
        </w:rPr>
        <w:outlineLvl w:val="1"/>
      </w:pPr>
      <w:r>
        <w:rPr>
          <w:rFonts w:hint="eastAsia" w:eastAsia="宋体"/>
          <w:color w:val="000000"/>
          <w:highlight w:val="none"/>
        </w:rPr>
        <w:t xml:space="preserve">环境提升部分工程量清单</w:t>
      </w:r>
      <w:r>
        <w:rPr>
          <w:rFonts w:hint="eastAsia" w:eastAsia="宋体"/>
          <w:color w:val="000000"/>
          <w:highlight w:val="none"/>
        </w:rPr>
      </w:r>
      <w:r/>
    </w:p>
    <w:p>
      <w:pPr>
        <w:pStyle w:val="1727"/>
        <w:jc w:val="center"/>
        <w:rPr>
          <w:color w:val="000000"/>
          <w:highlight w:val="none"/>
        </w:rPr>
        <w:outlineLvl w:val="1"/>
      </w:pPr>
      <w:r>
        <w:rPr>
          <w:color w:val="000000"/>
          <w:highlight w:val="none"/>
        </w:rPr>
      </w:r>
      <w:r/>
    </w:p>
    <w:tbl>
      <w:tblPr>
        <w:tblW w:w="9750" w:type="dxa"/>
        <w:tblInd w:w="-15" w:type="dxa"/>
        <w:tblLayout w:type="autofit"/>
        <w:tblCellMar>
          <w:left w:w="108" w:type="dxa"/>
          <w:top w:w="0" w:type="dxa"/>
          <w:right w:w="108" w:type="dxa"/>
          <w:bottom w:w="0" w:type="dxa"/>
        </w:tblCellMar>
        <w:tblLook w:val="04A0" w:firstRow="1" w:lastRow="0" w:firstColumn="1" w:lastColumn="0" w:noHBand="0" w:noVBand="1"/>
      </w:tblPr>
      <w:tblGrid>
        <w:gridCol w:w="741"/>
        <w:gridCol w:w="1985"/>
        <w:gridCol w:w="752"/>
        <w:gridCol w:w="1091"/>
        <w:gridCol w:w="1527"/>
        <w:gridCol w:w="1767"/>
        <w:gridCol w:w="1887"/>
      </w:tblGrid>
      <w:tr>
        <w:trPr>
          <w:trHeight w:val="6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1131"/>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序号</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131"/>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项目名称</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131"/>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单位</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131"/>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工程量</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131"/>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综合单价</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1131"/>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合价</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1131"/>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备注</w:t>
            </w:r>
            <w:r>
              <w:rPr>
                <w:rFonts w:hint="eastAsia" w:ascii="宋体" w:hAnsi="宋体" w:cs="宋体"/>
                <w:b/>
                <w:bCs/>
                <w:color w:val="000000"/>
                <w:sz w:val="24"/>
                <w:szCs w:val="24"/>
                <w:highlight w:val="none"/>
              </w:rPr>
            </w:r>
            <w:r/>
          </w:p>
        </w:tc>
      </w:tr>
      <w:tr>
        <w:trPr>
          <w:trHeight w:val="59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入口玄关隔墙</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据实计量</w:t>
            </w:r>
            <w:r>
              <w:rPr>
                <w:rFonts w:hint="eastAsia" w:ascii="宋体" w:hAnsi="宋体" w:cs="宋体"/>
                <w:color w:val="000000"/>
                <w:sz w:val="24"/>
                <w:szCs w:val="24"/>
                <w:highlight w:val="none"/>
              </w:rPr>
            </w:r>
            <w:r/>
          </w:p>
        </w:tc>
      </w:tr>
      <w:tr>
        <w:trPr>
          <w:trHeight w:val="494"/>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窗户封堵</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19.5</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据实计量</w:t>
            </w:r>
            <w:r>
              <w:rPr>
                <w:rFonts w:hint="eastAsia" w:ascii="宋体" w:hAnsi="宋体" w:cs="宋体"/>
                <w:color w:val="000000"/>
                <w:sz w:val="24"/>
                <w:szCs w:val="24"/>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矿棉板吊顶</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137.3</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据实计量</w:t>
            </w: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石膏板吊顶</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据实计量</w:t>
            </w: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玄关造型蓝色硬包</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据实计量</w:t>
            </w: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平面砂浆找平层</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165.5</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据实计量</w:t>
            </w: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墙面深灰色不锈钢包边</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m</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99.4</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据实计量</w:t>
            </w: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LED大屏边框深灰色不锈钢饰面</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据实计量</w:t>
            </w: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墙面浅色烤漆铝板</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51.7</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据实计量</w:t>
            </w: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墙面涂料</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64.8</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据实计量</w:t>
            </w: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窗台板</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m</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15</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据实计量</w:t>
            </w: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防火双开木门</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据实计量</w:t>
            </w: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墙体改造及粉刷</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14</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机房隐形门</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4.32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据实计量</w:t>
            </w: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15</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强弱电改造</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165.5</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据实计量</w:t>
            </w: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16</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室内装修及安装拆除</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1131"/>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17</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平板灯</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个</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1131"/>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18</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筒灯</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个</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1131"/>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19</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吸顶灯</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个</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1131"/>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开关面板</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个</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1131"/>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仓库两侧门各一套、大厅平板灯两门处各两个</w:t>
            </w: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插座面板</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个</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1131"/>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窗帘、沙发等出新</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1131"/>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23</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防水处理</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280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据实计量</w:t>
            </w:r>
            <w:r>
              <w:rPr>
                <w:rFonts w:hint="eastAsia" w:ascii="宋体" w:hAnsi="宋体" w:cs="宋体"/>
                <w:color w:val="000000"/>
                <w:sz w:val="24"/>
                <w:szCs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24</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双层灰色阻燃防火窗帘</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m²</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18</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据实计量</w:t>
            </w:r>
            <w:r>
              <w:rPr>
                <w:rFonts w:hint="eastAsia" w:ascii="宋体" w:hAnsi="宋体" w:cs="宋体"/>
                <w:color w:val="000000"/>
                <w:sz w:val="24"/>
                <w:szCs w:val="24"/>
                <w:highlight w:val="none"/>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4570" w:type="dxa"/>
            <w:vAlign w:val="center"/>
            <w:textDirection w:val="lrTb"/>
            <w:noWrap w:val="false"/>
          </w:tcPr>
          <w:p>
            <w:pPr>
              <w:pStyle w:val="1131"/>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清单小计A</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1131"/>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1727"/>
        <w:jc w:val="center"/>
        <w:rPr>
          <w:color w:val="000000"/>
          <w:highlight w:val="none"/>
        </w:rPr>
        <w:sectPr>
          <w:footnotePr/>
          <w:endnotePr/>
          <w:type w:val="nextPage"/>
          <w:pgSz w:w="11905" w:h="16838" w:orient="portrait"/>
          <w:pgMar w:top="1134" w:right="1134" w:bottom="1134" w:left="1417" w:header="850" w:footer="850" w:gutter="0"/>
          <w:cols w:num="1" w:sep="0" w:space="1701" w:equalWidth="1"/>
          <w:docGrid w:linePitch="360"/>
        </w:sectPr>
        <w:outlineLvl w:val="1"/>
      </w:pPr>
      <w:r>
        <w:rPr>
          <w:color w:val="000000"/>
          <w:highlight w:val="none"/>
        </w:rPr>
      </w:r>
      <w:r/>
    </w:p>
    <w:p>
      <w:pPr>
        <w:pStyle w:val="1727"/>
        <w:jc w:val="center"/>
        <w:rPr>
          <w:color w:val="000000"/>
          <w:highlight w:val="none"/>
        </w:rPr>
        <w:outlineLvl w:val="1"/>
      </w:pPr>
      <w:r/>
      <w:bookmarkStart w:id="205" w:name="_Toc14703"/>
      <w:r/>
      <w:bookmarkStart w:id="206" w:name="_Toc256000091"/>
      <w:r/>
      <w:bookmarkStart w:id="207" w:name="_Toc29003"/>
      <w:r>
        <w:rPr>
          <w:rFonts w:hint="eastAsia" w:ascii="宋体" w:hAnsi="宋体" w:eastAsia="宋体" w:cs="宋体"/>
          <w:color w:val="000000"/>
          <w:highlight w:val="none"/>
        </w:rPr>
        <w:t xml:space="preserve">五</w:t>
      </w:r>
      <w:r>
        <w:rPr>
          <w:rFonts w:ascii="宋体" w:hAnsi="宋体" w:eastAsia="宋体" w:cs="宋体"/>
          <w:color w:val="000000"/>
          <w:highlight w:val="none"/>
        </w:rPr>
        <w:t xml:space="preserve">、其他部分</w:t>
      </w:r>
      <w:bookmarkEnd w:id="205"/>
      <w:r/>
      <w:bookmarkEnd w:id="206"/>
      <w:r/>
      <w:bookmarkEnd w:id="207"/>
      <w:r>
        <w:rPr>
          <w:color w:val="000000"/>
          <w:highlight w:val="none"/>
        </w:rPr>
      </w:r>
      <w:r/>
    </w:p>
    <w:p>
      <w:pPr>
        <w:pStyle w:val="1131"/>
        <w:jc w:val="center"/>
        <w:spacing w:line="480" w:lineRule="exact"/>
        <w:rPr>
          <w:rFonts w:cs="宋体"/>
          <w:color w:val="000000"/>
          <w:sz w:val="24"/>
          <w:szCs w:val="24"/>
          <w:highlight w:val="none"/>
        </w:rPr>
      </w:pPr>
      <w:r>
        <w:rPr>
          <w:rFonts w:hint="eastAsia" w:cs="宋体"/>
          <w:color w:val="000000"/>
          <w:sz w:val="24"/>
          <w:szCs w:val="24"/>
          <w:highlight w:val="none"/>
        </w:rPr>
        <w:br w:type="page" w:clear="all"/>
      </w:r>
      <w:r>
        <w:rPr>
          <w:rFonts w:hint="eastAsia" w:cs="宋体"/>
          <w:color w:val="000000"/>
          <w:sz w:val="24"/>
          <w:szCs w:val="24"/>
          <w:highlight w:val="none"/>
        </w:rPr>
        <w:t xml:space="preserve">（一）中小企业声明函（服务、工程）</w:t>
      </w:r>
      <w:r>
        <w:rPr>
          <w:rFonts w:cs="宋体"/>
          <w:color w:val="000000"/>
          <w:sz w:val="24"/>
          <w:szCs w:val="24"/>
          <w:highlight w:val="none"/>
        </w:rPr>
      </w:r>
      <w:r/>
    </w:p>
    <w:p>
      <w:pPr>
        <w:pStyle w:val="1131"/>
        <w:jc w:val="center"/>
        <w:spacing w:before="312" w:after="312" w:line="360" w:lineRule="auto"/>
        <w:rPr>
          <w:b/>
          <w:bCs/>
          <w:color w:val="000000"/>
          <w:sz w:val="24"/>
          <w:szCs w:val="24"/>
          <w:highlight w:val="none"/>
        </w:rPr>
      </w:pPr>
      <w:r>
        <w:rPr>
          <w:rFonts w:hint="eastAsia"/>
          <w:b/>
          <w:bCs/>
          <w:color w:val="000000"/>
          <w:sz w:val="24"/>
          <w:szCs w:val="24"/>
          <w:highlight w:val="none"/>
        </w:rPr>
        <w:t xml:space="preserve">中小企业声明函（服务、工程）</w:t>
      </w:r>
      <w:r>
        <w:rPr>
          <w:b/>
          <w:bCs/>
          <w:color w:val="000000"/>
          <w:sz w:val="24"/>
          <w:szCs w:val="24"/>
          <w:highlight w:val="none"/>
        </w:rPr>
      </w:r>
      <w:r/>
    </w:p>
    <w:p>
      <w:pPr>
        <w:pStyle w:val="1131"/>
        <w:ind w:firstLine="42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color w:val="000000"/>
          <w:sz w:val="24"/>
          <w:szCs w:val="24"/>
          <w:highlight w:val="none"/>
        </w:rPr>
      </w:r>
      <w:r/>
    </w:p>
    <w:p>
      <w:pPr>
        <w:pStyle w:val="1131"/>
        <w:ind w:firstLine="420"/>
        <w:jc w:val="left"/>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 </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w:t>
      </w:r>
      <w:r>
        <w:rPr>
          <w:rFonts w:hint="eastAsia" w:ascii="宋体" w:hAnsi="宋体" w:cs="宋体"/>
          <w:b/>
          <w:color w:val="000000"/>
          <w:sz w:val="24"/>
          <w:szCs w:val="24"/>
          <w:highlight w:val="none"/>
          <w:u w:val="single"/>
        </w:rPr>
        <w:t xml:space="preserve">信息传输业</w:t>
      </w:r>
      <w:r>
        <w:rPr>
          <w:rFonts w:hint="eastAsia" w:ascii="宋体" w:hAnsi="宋体"/>
          <w:color w:val="000000"/>
          <w:sz w:val="24"/>
          <w:szCs w:val="24"/>
          <w:highlight w:val="none"/>
          <w:u w:val="single"/>
        </w:rPr>
        <w:t xml:space="preserve">）（该行业类别不可修改）</w:t>
      </w:r>
      <w:r>
        <w:rPr>
          <w:rFonts w:hint="eastAsia" w:ascii="宋体" w:hAnsi="宋体"/>
          <w:color w:val="000000"/>
          <w:sz w:val="24"/>
          <w:szCs w:val="24"/>
          <w:highlight w:val="none"/>
        </w:rPr>
        <w:t xml:space="preserve">；承接企业为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color w:val="000000"/>
          <w:sz w:val="24"/>
          <w:szCs w:val="24"/>
          <w:highlight w:val="none"/>
        </w:rPr>
        <w:fldChar w:fldCharType="begin"/>
      </w:r>
      <w:r>
        <w:rPr>
          <w:color w:val="000000"/>
          <w:sz w:val="24"/>
          <w:szCs w:val="24"/>
          <w:highlight w:val="none"/>
        </w:rPr>
        <w:instrText xml:space="preserve">HYPERLINK \l "br1"</w:instrText>
      </w:r>
      <w:r>
        <w:rPr>
          <w:color w:val="000000"/>
          <w:sz w:val="24"/>
          <w:szCs w:val="24"/>
          <w:highlight w:val="none"/>
        </w:rPr>
        <w:fldChar w:fldCharType="separate"/>
      </w:r>
      <w:r>
        <w:rPr>
          <w:rFonts w:ascii="宋体" w:hAnsi="宋体"/>
          <w:color w:val="000000"/>
          <w:spacing w:val="-1"/>
          <w:sz w:val="24"/>
          <w:szCs w:val="24"/>
          <w:highlight w:val="none"/>
          <w:vertAlign w:val="superscript"/>
        </w:rPr>
        <w:t xml:space="preserve">1</w:t>
      </w:r>
      <w:r>
        <w:rPr>
          <w:rFonts w:ascii="宋体" w:hAnsi="宋体"/>
          <w:color w:val="000000"/>
          <w:spacing w:val="-1"/>
          <w:sz w:val="24"/>
          <w:szCs w:val="24"/>
          <w:highlight w:val="none"/>
          <w:vertAlign w:val="superscript"/>
        </w:rPr>
        <w:fldChar w:fldCharType="end"/>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（中型企业、小型企业、微型企业）；</w:t>
      </w:r>
      <w:r>
        <w:rPr>
          <w:rFonts w:ascii="宋体" w:hAnsi="宋体"/>
          <w:color w:val="000000"/>
          <w:sz w:val="24"/>
          <w:szCs w:val="24"/>
          <w:highlight w:val="none"/>
          <w:u w:val="single"/>
        </w:rPr>
      </w:r>
      <w:r/>
    </w:p>
    <w:p>
      <w:pPr>
        <w:pStyle w:val="1131"/>
        <w:ind w:firstLine="420"/>
        <w:jc w:val="left"/>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color w:val="000000"/>
          <w:sz w:val="24"/>
          <w:szCs w:val="24"/>
          <w:highlight w:val="none"/>
        </w:rPr>
        <w:t xml:space="preserve"> ，属于</w:t>
      </w:r>
      <w:r>
        <w:rPr>
          <w:rFonts w:hint="eastAsia" w:ascii="宋体" w:hAnsi="宋体"/>
          <w:color w:val="000000"/>
          <w:sz w:val="24"/>
          <w:szCs w:val="24"/>
          <w:highlight w:val="none"/>
          <w:u w:val="single"/>
        </w:rPr>
        <w:t xml:space="preserve">（</w:t>
      </w:r>
      <w:r>
        <w:rPr>
          <w:rFonts w:hint="eastAsia" w:ascii="宋体" w:hAnsi="宋体" w:cs="宋体"/>
          <w:b/>
          <w:color w:val="000000"/>
          <w:sz w:val="24"/>
          <w:szCs w:val="24"/>
          <w:highlight w:val="none"/>
          <w:u w:val="single"/>
        </w:rPr>
        <w:t xml:space="preserve">信息传输业</w:t>
      </w:r>
      <w:r>
        <w:rPr>
          <w:rFonts w:hint="eastAsia" w:ascii="宋体" w:hAnsi="宋体"/>
          <w:color w:val="000000"/>
          <w:sz w:val="24"/>
          <w:szCs w:val="24"/>
          <w:highlight w:val="none"/>
          <w:u w:val="single"/>
        </w:rPr>
        <w:t xml:space="preserve">）（该行业类别不可修改）</w:t>
      </w:r>
      <w:r>
        <w:rPr>
          <w:rFonts w:hint="eastAsia" w:ascii="宋体" w:hAnsi="宋体"/>
          <w:color w:val="000000"/>
          <w:sz w:val="24"/>
          <w:szCs w:val="24"/>
          <w:highlight w:val="none"/>
        </w:rPr>
        <w:t xml:space="preserve">；承接企业为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ascii="宋体" w:hAnsi="宋体"/>
          <w:color w:val="000000"/>
          <w:sz w:val="24"/>
          <w:szCs w:val="24"/>
          <w:highlight w:val="none"/>
          <w:u w:val="single"/>
        </w:rPr>
      </w:r>
      <w:r/>
    </w:p>
    <w:p>
      <w:pPr>
        <w:pStyle w:val="1131"/>
        <w:ind w:firstLine="420"/>
        <w:jc w:val="left"/>
        <w:spacing w:line="360" w:lineRule="auto"/>
        <w:rPr>
          <w:color w:val="000000"/>
          <w:sz w:val="24"/>
          <w:szCs w:val="24"/>
          <w:highlight w:val="none"/>
        </w:rPr>
      </w:pPr>
      <w:r>
        <w:rPr>
          <w:rFonts w:hint="eastAsia" w:ascii="宋体" w:hAnsi="宋体"/>
          <w:color w:val="000000"/>
          <w:sz w:val="24"/>
          <w:szCs w:val="24"/>
          <w:highlight w:val="none"/>
        </w:rPr>
        <w:t xml:space="preserve">……</w:t>
      </w:r>
      <w:r>
        <w:rPr>
          <w:color w:val="000000"/>
          <w:sz w:val="24"/>
          <w:szCs w:val="24"/>
          <w:highlight w:val="none"/>
        </w:rPr>
      </w:r>
      <w:r/>
    </w:p>
    <w:p>
      <w:pPr>
        <w:pStyle w:val="1131"/>
        <w:ind w:firstLine="420"/>
        <w:jc w:val="left"/>
        <w:spacing w:line="360" w:lineRule="auto"/>
        <w:rPr>
          <w:color w:val="000000"/>
          <w:sz w:val="24"/>
          <w:szCs w:val="24"/>
          <w:highlight w:val="none"/>
        </w:rPr>
      </w:pPr>
      <w:r>
        <w:rPr>
          <w:rFonts w:hint="eastAsia"/>
          <w:color w:val="000000"/>
          <w:sz w:val="24"/>
          <w:szCs w:val="24"/>
          <w:highlight w:val="none"/>
        </w:rPr>
        <w:t xml:space="preserve">以上企业，不属于大企业的分支机构，不存在控股股东为大企业的情形，也不存在与大企业的负责人为同一人的情形。</w:t>
      </w:r>
      <w:r>
        <w:rPr>
          <w:color w:val="000000"/>
          <w:sz w:val="24"/>
          <w:szCs w:val="24"/>
          <w:highlight w:val="none"/>
        </w:rPr>
      </w:r>
      <w:r/>
    </w:p>
    <w:p>
      <w:pPr>
        <w:pStyle w:val="1131"/>
        <w:ind w:firstLine="420"/>
        <w:jc w:val="left"/>
        <w:spacing w:line="360" w:lineRule="auto"/>
        <w:rPr>
          <w:color w:val="000000"/>
          <w:sz w:val="24"/>
          <w:szCs w:val="24"/>
          <w:highlight w:val="none"/>
        </w:rPr>
      </w:pPr>
      <w:r>
        <w:rPr>
          <w:rFonts w:hint="eastAsia"/>
          <w:color w:val="000000"/>
          <w:sz w:val="24"/>
          <w:szCs w:val="24"/>
          <w:highlight w:val="none"/>
        </w:rPr>
        <w:t xml:space="preserve">本企业对上述声明内容的真实性负责。如有虚假，将依法承担相应责任。</w:t>
      </w:r>
      <w:r>
        <w:rPr>
          <w:color w:val="000000"/>
          <w:sz w:val="24"/>
          <w:szCs w:val="24"/>
          <w:highlight w:val="none"/>
        </w:rPr>
      </w:r>
      <w:r/>
    </w:p>
    <w:p>
      <w:pPr>
        <w:pStyle w:val="1131"/>
        <w:ind w:firstLine="5250"/>
        <w:spacing w:line="360" w:lineRule="auto"/>
        <w:rPr>
          <w:color w:val="000000"/>
          <w:sz w:val="24"/>
          <w:szCs w:val="24"/>
          <w:highlight w:val="none"/>
        </w:rPr>
      </w:pPr>
      <w:r>
        <w:rPr>
          <w:rFonts w:hint="eastAsia"/>
          <w:color w:val="000000"/>
          <w:sz w:val="24"/>
          <w:szCs w:val="24"/>
          <w:highlight w:val="none"/>
        </w:rPr>
        <w:t xml:space="preserve">企业名称（盖章）：</w:t>
      </w:r>
      <w:r>
        <w:rPr>
          <w:color w:val="000000"/>
          <w:sz w:val="24"/>
          <w:szCs w:val="24"/>
          <w:highlight w:val="none"/>
        </w:rPr>
      </w:r>
      <w:r/>
    </w:p>
    <w:p>
      <w:pPr>
        <w:pStyle w:val="1131"/>
        <w:jc w:val="center"/>
        <w:spacing w:line="360" w:lineRule="auto"/>
        <w:rPr>
          <w:color w:val="000000"/>
          <w:sz w:val="24"/>
          <w:szCs w:val="24"/>
          <w:highlight w:val="none"/>
        </w:rPr>
      </w:pPr>
      <w:r>
        <w:rPr>
          <w:rFonts w:hint="eastAsia"/>
          <w:color w:val="000000"/>
          <w:sz w:val="24"/>
          <w:szCs w:val="24"/>
          <w:highlight w:val="none"/>
        </w:rPr>
        <w:t xml:space="preserve"> </w:t>
      </w:r>
      <w:r>
        <w:rPr>
          <w:color w:val="000000"/>
          <w:sz w:val="24"/>
          <w:szCs w:val="24"/>
          <w:highlight w:val="none"/>
        </w:rPr>
        <w:t xml:space="preserve">                          </w:t>
      </w:r>
      <w:r>
        <w:rPr>
          <w:rFonts w:hint="eastAsia"/>
          <w:color w:val="000000"/>
          <w:sz w:val="24"/>
          <w:szCs w:val="24"/>
          <w:highlight w:val="none"/>
        </w:rPr>
        <w:t xml:space="preserve">日期：</w:t>
      </w:r>
      <w:r>
        <w:rPr>
          <w:color w:val="000000"/>
          <w:sz w:val="24"/>
          <w:szCs w:val="24"/>
          <w:highlight w:val="none"/>
        </w:rPr>
      </w:r>
      <w:r/>
    </w:p>
    <w:p>
      <w:pPr>
        <w:pStyle w:val="1131"/>
        <w:jc w:val="left"/>
        <w:spacing w:line="380" w:lineRule="exact"/>
        <w:rPr>
          <w:color w:val="000000"/>
          <w:sz w:val="24"/>
          <w:szCs w:val="24"/>
          <w:highlight w:val="none"/>
        </w:rPr>
      </w:pPr>
      <w:r>
        <w:rPr>
          <w:rFonts w:hint="eastAsia" w:ascii="宋体" w:hAnsi="宋体"/>
          <w:color w:val="000000"/>
          <w:sz w:val="24"/>
          <w:szCs w:val="24"/>
          <w:highlight w:val="none"/>
        </w:rPr>
        <w:t xml:space="preserve">注： 1、</w:t>
      </w:r>
      <w:r>
        <w:rPr>
          <w:rFonts w:hint="eastAsia"/>
          <w:color w:val="000000"/>
          <w:sz w:val="24"/>
          <w:szCs w:val="24"/>
          <w:highlight w:val="none"/>
        </w:rPr>
        <w:t xml:space="preserve">从业人员（不仅指在职职工）、营业收入、资产总额填报上一年度数据，无上一年度数据的新成立企业可不填报。</w:t>
      </w:r>
      <w:r>
        <w:rPr>
          <w:color w:val="000000"/>
          <w:sz w:val="24"/>
          <w:szCs w:val="24"/>
          <w:highlight w:val="none"/>
        </w:rPr>
      </w:r>
      <w:r/>
    </w:p>
    <w:p>
      <w:pPr>
        <w:pStyle w:val="1437"/>
        <w:jc w:val="center"/>
        <w:spacing w:before="240" w:beforeAutospacing="0" w:after="240" w:afterAutospacing="0" w:line="360" w:lineRule="auto"/>
        <w:rPr>
          <w:rFonts w:hint="eastAsia"/>
          <w:color w:val="000000"/>
          <w:highlight w:val="none"/>
        </w:rPr>
        <w:sectPr>
          <w:footnotePr/>
          <w:endnotePr/>
          <w:type w:val="nextPage"/>
          <w:pgSz w:w="11905" w:h="16838" w:orient="portrait"/>
          <w:pgMar w:top="1134" w:right="1134" w:bottom="1134" w:left="1417" w:header="850" w:footer="850" w:gutter="0"/>
          <w:cols w:num="1" w:sep="0" w:space="1701" w:equalWidth="1"/>
          <w:docGrid w:linePitch="360"/>
        </w:sectPr>
      </w:pPr>
      <w:r>
        <w:rPr>
          <w:rFonts w:hint="eastAsia"/>
          <w:color w:val="000000"/>
          <w:highlight w:val="none"/>
        </w:rPr>
        <w:t xml:space="preserve">    </w:t>
      </w:r>
      <w:r>
        <w:rPr>
          <w:color w:val="000000"/>
          <w:highlight w:val="none"/>
        </w:rPr>
        <w:t xml:space="preserve">2</w:t>
      </w:r>
      <w:r>
        <w:rPr>
          <w:rFonts w:hint="eastAsia"/>
          <w:color w:val="000000"/>
          <w:highlight w:val="none"/>
        </w:rPr>
        <w:t xml:space="preserve">、企业声明函请完整填写，成交后将公示。</w:t>
      </w:r>
      <w:r>
        <w:rPr>
          <w:rFonts w:hint="eastAsia"/>
          <w:color w:val="000000"/>
          <w:highlight w:val="none"/>
        </w:rPr>
      </w:r>
      <w:r/>
    </w:p>
    <w:p>
      <w:pPr>
        <w:pStyle w:val="1437"/>
        <w:jc w:val="center"/>
        <w:spacing w:before="240" w:beforeAutospacing="0" w:after="240" w:afterAutospacing="0" w:line="360" w:lineRule="auto"/>
        <w:rPr>
          <w:rFonts w:cs="宋体"/>
          <w:color w:val="000000"/>
          <w:highlight w:val="none"/>
        </w:rPr>
      </w:pPr>
      <w:r>
        <w:rPr>
          <w:rFonts w:cs="宋体"/>
          <w:color w:val="000000"/>
          <w:highlight w:val="none"/>
        </w:rPr>
        <w:t xml:space="preserve">《中小企业声明函》填写说明</w:t>
      </w:r>
      <w:r>
        <w:rPr>
          <w:rFonts w:cs="宋体"/>
          <w:color w:val="000000"/>
          <w:highlight w:val="none"/>
        </w:rPr>
      </w:r>
      <w:r/>
    </w:p>
    <w:p>
      <w:pPr>
        <w:pStyle w:val="1639"/>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1、请各投标</w:t>
      </w:r>
      <w:r>
        <w:rPr>
          <w:rFonts w:hint="eastAsia" w:ascii="宋体" w:hAnsi="宋体" w:cs="宋体"/>
          <w:color w:val="000000"/>
          <w:sz w:val="24"/>
          <w:szCs w:val="24"/>
          <w:highlight w:val="none"/>
        </w:rPr>
        <w:t xml:space="preserve">投标人</w:t>
      </w:r>
      <w:r>
        <w:rPr>
          <w:rFonts w:ascii="宋体" w:hAnsi="宋体" w:cs="宋体"/>
          <w:color w:val="000000"/>
          <w:sz w:val="24"/>
          <w:szCs w:val="24"/>
          <w:highlight w:val="none"/>
        </w:rPr>
        <w:t xml:space="preserve">按照</w:t>
      </w:r>
      <w:r>
        <w:rPr>
          <w:rFonts w:ascii="宋体" w:hAnsi="宋体" w:cs="宋体"/>
          <w:b/>
          <w:color w:val="000000"/>
          <w:sz w:val="24"/>
          <w:szCs w:val="24"/>
          <w:highlight w:val="none"/>
        </w:rPr>
        <w:t xml:space="preserve">本项目类别</w:t>
      </w:r>
      <w:r>
        <w:rPr>
          <w:rFonts w:ascii="宋体" w:hAnsi="宋体" w:cs="宋体"/>
          <w:color w:val="000000"/>
          <w:sz w:val="24"/>
          <w:szCs w:val="24"/>
          <w:highlight w:val="none"/>
        </w:rPr>
        <w:t xml:space="preserve"> (详见</w:t>
      </w:r>
      <w:r>
        <w:rPr>
          <w:rFonts w:hint="eastAsia" w:ascii="宋体" w:hAnsi="宋体" w:cs="宋体"/>
          <w:color w:val="000000"/>
          <w:sz w:val="24"/>
          <w:szCs w:val="24"/>
          <w:highlight w:val="none"/>
        </w:rPr>
        <w:t xml:space="preserve">采购</w:t>
      </w:r>
      <w:r>
        <w:rPr>
          <w:rFonts w:ascii="宋体" w:hAnsi="宋体" w:cs="宋体"/>
          <w:color w:val="000000"/>
          <w:sz w:val="24"/>
          <w:szCs w:val="24"/>
          <w:highlight w:val="none"/>
        </w:rPr>
        <w:t xml:space="preserve">需求) 选择对应的《中小企业声明函》进行填写，例如本项目属于</w:t>
      </w:r>
      <w:r>
        <w:rPr>
          <w:rFonts w:hint="eastAsia" w:ascii="宋体" w:hAnsi="宋体" w:cs="宋体"/>
          <w:color w:val="000000"/>
          <w:sz w:val="24"/>
          <w:szCs w:val="24"/>
          <w:highlight w:val="none"/>
        </w:rPr>
        <w:t xml:space="preserve">货物</w:t>
      </w:r>
      <w:r>
        <w:rPr>
          <w:rFonts w:ascii="宋体" w:hAnsi="宋体" w:cs="宋体"/>
          <w:color w:val="000000"/>
          <w:sz w:val="24"/>
          <w:szCs w:val="24"/>
          <w:highlight w:val="none"/>
        </w:rPr>
        <w:t xml:space="preserve">类，则只需将本项目提供的全部</w:t>
      </w:r>
      <w:r>
        <w:rPr>
          <w:rFonts w:hint="eastAsia" w:ascii="宋体" w:hAnsi="宋体" w:cs="宋体"/>
          <w:color w:val="000000"/>
          <w:sz w:val="24"/>
          <w:szCs w:val="24"/>
          <w:highlight w:val="none"/>
        </w:rPr>
        <w:t xml:space="preserve">服务标的</w:t>
      </w:r>
      <w:r>
        <w:rPr>
          <w:rFonts w:ascii="宋体" w:hAnsi="宋体" w:cs="宋体"/>
          <w:color w:val="000000"/>
          <w:sz w:val="24"/>
          <w:szCs w:val="24"/>
          <w:highlight w:val="none"/>
        </w:rPr>
        <w:t xml:space="preserve">填写在《中小企业声明函》即可</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以此类推。</w:t>
      </w:r>
      <w:r>
        <w:rPr>
          <w:rFonts w:ascii="宋体" w:hAnsi="宋体" w:cs="宋体"/>
          <w:color w:val="000000"/>
          <w:sz w:val="24"/>
          <w:szCs w:val="24"/>
          <w:highlight w:val="none"/>
        </w:rPr>
      </w:r>
      <w:r/>
    </w:p>
    <w:p>
      <w:pPr>
        <w:pStyle w:val="1639"/>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2、采购标的对应的中小企业划分标准所属行业，以</w:t>
      </w:r>
      <w:r>
        <w:rPr>
          <w:rFonts w:hint="eastAsia" w:ascii="宋体" w:hAnsi="宋体" w:cs="宋体"/>
          <w:color w:val="000000"/>
          <w:sz w:val="24"/>
          <w:szCs w:val="24"/>
          <w:highlight w:val="none"/>
        </w:rPr>
        <w:t xml:space="preserve">采购</w:t>
      </w:r>
      <w:r>
        <w:rPr>
          <w:rFonts w:ascii="宋体" w:hAnsi="宋体" w:cs="宋体"/>
          <w:color w:val="000000"/>
          <w:sz w:val="24"/>
          <w:szCs w:val="24"/>
          <w:highlight w:val="none"/>
        </w:rPr>
        <w:t xml:space="preserve">需求中的项目所属行业为准。</w:t>
      </w:r>
      <w:r>
        <w:rPr>
          <w:rFonts w:ascii="宋体" w:hAnsi="宋体" w:cs="宋体"/>
          <w:color w:val="000000"/>
          <w:sz w:val="24"/>
          <w:szCs w:val="24"/>
          <w:highlight w:val="none"/>
        </w:rPr>
      </w:r>
      <w:r/>
    </w:p>
    <w:p>
      <w:pPr>
        <w:pStyle w:val="1639"/>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3、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视同中小企业；事业单位、团体组织等非企业性质的政府采购</w:t>
      </w:r>
      <w:r>
        <w:rPr>
          <w:rFonts w:hint="eastAsia" w:ascii="宋体" w:hAnsi="宋体" w:cs="宋体"/>
          <w:color w:val="000000"/>
          <w:sz w:val="24"/>
          <w:szCs w:val="24"/>
          <w:highlight w:val="none"/>
        </w:rPr>
        <w:t xml:space="preserve">投标人</w:t>
      </w:r>
      <w:r>
        <w:rPr>
          <w:rFonts w:ascii="宋体" w:hAnsi="宋体" w:cs="宋体"/>
          <w:color w:val="000000"/>
          <w:sz w:val="24"/>
          <w:szCs w:val="24"/>
          <w:highlight w:val="none"/>
        </w:rPr>
        <w:t xml:space="preserve">，不属于中小企业划型标准确定的中小企业。</w:t>
      </w:r>
      <w:r>
        <w:rPr>
          <w:rFonts w:ascii="宋体" w:hAnsi="宋体" w:cs="宋体"/>
          <w:color w:val="000000"/>
          <w:sz w:val="24"/>
          <w:szCs w:val="24"/>
          <w:highlight w:val="none"/>
        </w:rPr>
      </w:r>
      <w:r/>
    </w:p>
    <w:p>
      <w:pPr>
        <w:pStyle w:val="1639"/>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4、从业人员、营业收入、资产总额填报上一年度数据，无上一年度数据的新成立企业可不填报。</w:t>
      </w:r>
      <w:r>
        <w:rPr>
          <w:rFonts w:ascii="宋体" w:hAnsi="宋体" w:cs="宋体"/>
          <w:color w:val="000000"/>
          <w:sz w:val="24"/>
          <w:szCs w:val="24"/>
          <w:highlight w:val="none"/>
        </w:rPr>
      </w:r>
      <w:r/>
    </w:p>
    <w:p>
      <w:pPr>
        <w:pStyle w:val="1639"/>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5、投标</w:t>
      </w:r>
      <w:r>
        <w:rPr>
          <w:rFonts w:hint="eastAsia" w:ascii="宋体" w:hAnsi="宋体" w:cs="宋体"/>
          <w:color w:val="000000"/>
          <w:sz w:val="24"/>
          <w:szCs w:val="24"/>
          <w:highlight w:val="none"/>
        </w:rPr>
        <w:t xml:space="preserve">投标人</w:t>
      </w:r>
      <w:r>
        <w:rPr>
          <w:rFonts w:ascii="宋体" w:hAnsi="宋体" w:cs="宋体"/>
          <w:color w:val="000000"/>
          <w:sz w:val="24"/>
          <w:szCs w:val="24"/>
          <w:highlight w:val="none"/>
        </w:rPr>
        <w:t xml:space="preserve">未按照上述格式正确填写《中小企业声明函》的，视为未提供《中小企业声明函》，不享受中小企业扶持政策。</w:t>
      </w:r>
      <w:r>
        <w:rPr>
          <w:rFonts w:ascii="宋体" w:hAnsi="宋体" w:cs="宋体"/>
          <w:color w:val="000000"/>
          <w:sz w:val="24"/>
          <w:szCs w:val="24"/>
          <w:highlight w:val="none"/>
        </w:rPr>
      </w:r>
      <w:r/>
    </w:p>
    <w:p>
      <w:pPr>
        <w:pStyle w:val="1639"/>
        <w:ind w:firstLine="48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w:t>
      </w:r>
      <w:r>
        <w:rPr>
          <w:rFonts w:ascii="宋体" w:hAnsi="宋体" w:cs="宋体"/>
          <w:b/>
          <w:color w:val="000000"/>
          <w:sz w:val="24"/>
          <w:szCs w:val="24"/>
          <w:highlight w:val="none"/>
        </w:rPr>
        <w:t xml:space="preserve">中小企业划型标准规定</w:t>
      </w:r>
      <w:r>
        <w:rPr>
          <w:rFonts w:hint="eastAsia" w:ascii="宋体" w:hAnsi="宋体" w:cs="宋体"/>
          <w:b/>
          <w:color w:val="000000"/>
          <w:sz w:val="24"/>
          <w:szCs w:val="24"/>
          <w:highlight w:val="none"/>
        </w:rPr>
        <w:t xml:space="preserve">》</w:t>
      </w:r>
      <w:r>
        <w:rPr>
          <w:rFonts w:ascii="宋体" w:hAnsi="宋体" w:cs="宋体"/>
          <w:b/>
          <w:color w:val="000000"/>
          <w:sz w:val="24"/>
          <w:szCs w:val="24"/>
          <w:highlight w:val="none"/>
        </w:rPr>
      </w:r>
      <w:r/>
    </w:p>
    <w:p>
      <w:pPr>
        <w:pStyle w:val="1639"/>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一、根据《中华人民共和国中小企业促进法》和《国务院关于进一步促进中小企业发展的若干意见》(国发〔2009〕36号)，制定本规定。</w:t>
      </w:r>
      <w:r>
        <w:rPr>
          <w:rFonts w:ascii="宋体" w:hAnsi="宋体" w:cs="宋体"/>
          <w:color w:val="000000"/>
          <w:sz w:val="24"/>
          <w:szCs w:val="24"/>
          <w:highlight w:val="none"/>
        </w:rPr>
      </w:r>
      <w:r/>
    </w:p>
    <w:p>
      <w:pPr>
        <w:pStyle w:val="1639"/>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二、中小企业划分为中型、小型、微型三种类型，具体标准根据企业从业人员、营业收入、资产总额等指标，结合行业特点制定。</w:t>
      </w:r>
      <w:r>
        <w:rPr>
          <w:rFonts w:ascii="宋体" w:hAnsi="宋体" w:cs="宋体"/>
          <w:color w:val="000000"/>
          <w:sz w:val="24"/>
          <w:szCs w:val="24"/>
          <w:highlight w:val="none"/>
        </w:rPr>
      </w:r>
      <w:r/>
    </w:p>
    <w:p>
      <w:pPr>
        <w:pStyle w:val="1639"/>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三、本规定适用的行业包括：农、林、牧、渔业，工业 (包括采矿业，制造业，电力、热力、 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 (包括科学研究和技术服务业，水利、环境和公共设施管理业，居民服务、修理和其他服务业，社会工作，文化、体育和娱乐业等)。</w:t>
      </w:r>
      <w:r>
        <w:rPr>
          <w:rFonts w:ascii="宋体" w:hAnsi="宋体" w:cs="宋体"/>
          <w:color w:val="000000"/>
          <w:sz w:val="24"/>
          <w:szCs w:val="24"/>
          <w:highlight w:val="none"/>
        </w:rPr>
      </w:r>
      <w:r/>
    </w:p>
    <w:p>
      <w:pPr>
        <w:pStyle w:val="1639"/>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四、各行业划型标准为：</w:t>
      </w:r>
      <w:r>
        <w:rPr>
          <w:rFonts w:ascii="宋体" w:hAnsi="宋体" w:cs="宋体"/>
          <w:color w:val="000000"/>
          <w:sz w:val="24"/>
          <w:szCs w:val="24"/>
          <w:highlight w:val="none"/>
        </w:rPr>
      </w:r>
      <w:r/>
    </w:p>
    <w:p>
      <w:pPr>
        <w:pStyle w:val="163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一</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农、林、牧、渔业。营业收入20000万元以下的为中小微型企业。其中，营业收入500万元及以上的为中型企业，营业收入50万元及以上的为小型企业，营业收入50万元以下的为微型企业。</w:t>
      </w:r>
      <w:r>
        <w:rPr>
          <w:rFonts w:ascii="宋体" w:hAnsi="宋体" w:cs="宋体"/>
          <w:color w:val="000000"/>
          <w:sz w:val="24"/>
          <w:szCs w:val="24"/>
          <w:highlight w:val="none"/>
        </w:rPr>
      </w:r>
      <w:r/>
    </w:p>
    <w:p>
      <w:pPr>
        <w:pStyle w:val="163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二</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color w:val="000000"/>
          <w:sz w:val="24"/>
          <w:szCs w:val="24"/>
          <w:highlight w:val="none"/>
        </w:rPr>
      </w:r>
      <w:r/>
    </w:p>
    <w:p>
      <w:pPr>
        <w:pStyle w:val="163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三</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color w:val="000000"/>
          <w:sz w:val="24"/>
          <w:szCs w:val="24"/>
          <w:highlight w:val="none"/>
        </w:rPr>
      </w:r>
      <w:r/>
    </w:p>
    <w:p>
      <w:pPr>
        <w:pStyle w:val="163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四</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color w:val="000000"/>
          <w:sz w:val="24"/>
          <w:szCs w:val="24"/>
          <w:highlight w:val="none"/>
        </w:rPr>
      </w:r>
      <w:r/>
    </w:p>
    <w:p>
      <w:pPr>
        <w:pStyle w:val="163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五</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零售业。从业人员300人以下或营业收入20000万元以下的为中小微型企业。其中</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color w:val="000000"/>
          <w:sz w:val="24"/>
          <w:szCs w:val="24"/>
          <w:highlight w:val="none"/>
        </w:rPr>
      </w:r>
      <w:r/>
    </w:p>
    <w:p>
      <w:pPr>
        <w:pStyle w:val="163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六</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color w:val="000000"/>
          <w:sz w:val="24"/>
          <w:szCs w:val="24"/>
          <w:highlight w:val="none"/>
        </w:rPr>
      </w:r>
      <w:r/>
    </w:p>
    <w:p>
      <w:pPr>
        <w:pStyle w:val="163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七</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仓储业。从业人员200人以下或营业收入30000万元以下的为中小微型企业。其中，从业人员100人及以上，且营业收入1000万元及以上的为中型企业；从业人员20人及以上，且营业收入 100万元及以上的为小型企业；从业人员20人以下或营业收入100万元以下的为微型企业。</w:t>
      </w:r>
      <w:r>
        <w:rPr>
          <w:rFonts w:ascii="宋体" w:hAnsi="宋体" w:cs="宋体"/>
          <w:color w:val="000000"/>
          <w:sz w:val="24"/>
          <w:szCs w:val="24"/>
          <w:highlight w:val="none"/>
        </w:rPr>
      </w:r>
      <w:r/>
    </w:p>
    <w:p>
      <w:pPr>
        <w:pStyle w:val="163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八</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邮政业。从业人员1000人以下或营业收入30000万元以下的为中小微型企业。其中</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从业人员300人及以上，且营业收入2000万元及以上的为中型企业；从业人员20人及以上</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且营业收入100万元及以上的为小型企业；从业人员20人以下或营业收入100万元以下的为微型企业。</w:t>
      </w:r>
      <w:r>
        <w:rPr>
          <w:rFonts w:ascii="宋体" w:hAnsi="宋体" w:cs="宋体"/>
          <w:color w:val="000000"/>
          <w:sz w:val="24"/>
          <w:szCs w:val="24"/>
          <w:highlight w:val="none"/>
        </w:rPr>
      </w:r>
      <w:r/>
    </w:p>
    <w:p>
      <w:pPr>
        <w:pStyle w:val="163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九</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住宿业。从业人员300人以下或营业收入10000万元以下的为中小微型企业。其中</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sz w:val="24"/>
          <w:szCs w:val="24"/>
          <w:highlight w:val="none"/>
        </w:rPr>
      </w:r>
      <w:r/>
    </w:p>
    <w:p>
      <w:pPr>
        <w:pStyle w:val="163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十</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sz w:val="24"/>
          <w:szCs w:val="24"/>
          <w:highlight w:val="none"/>
        </w:rPr>
      </w:r>
      <w:r/>
    </w:p>
    <w:p>
      <w:pPr>
        <w:pStyle w:val="163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十一</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color w:val="000000"/>
          <w:sz w:val="24"/>
          <w:szCs w:val="24"/>
          <w:highlight w:val="none"/>
        </w:rPr>
      </w:r>
      <w:r/>
    </w:p>
    <w:p>
      <w:pPr>
        <w:pStyle w:val="163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十二</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color w:val="000000"/>
          <w:sz w:val="24"/>
          <w:szCs w:val="24"/>
          <w:highlight w:val="none"/>
        </w:rPr>
      </w:r>
      <w:r/>
    </w:p>
    <w:p>
      <w:pPr>
        <w:pStyle w:val="163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十三</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color w:val="000000"/>
          <w:sz w:val="24"/>
          <w:szCs w:val="24"/>
          <w:highlight w:val="none"/>
        </w:rPr>
      </w:r>
      <w:r/>
    </w:p>
    <w:p>
      <w:pPr>
        <w:pStyle w:val="163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十四</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color w:val="000000"/>
          <w:sz w:val="24"/>
          <w:szCs w:val="24"/>
          <w:highlight w:val="none"/>
        </w:rPr>
      </w:r>
      <w:r/>
    </w:p>
    <w:p>
      <w:pPr>
        <w:pStyle w:val="163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十五</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color w:val="000000"/>
          <w:sz w:val="24"/>
          <w:szCs w:val="24"/>
          <w:highlight w:val="none"/>
        </w:rPr>
      </w:r>
      <w:r/>
    </w:p>
    <w:p>
      <w:pPr>
        <w:pStyle w:val="163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十六</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其他未列明行业。从业人员300人以下的为中小微型企业。其中，从业人员100人及以上的为中型企业；从业人员10人及以上的为小型企业；从业人员10人以下的为微型企业。</w:t>
      </w:r>
      <w:r>
        <w:rPr>
          <w:rFonts w:ascii="宋体" w:hAnsi="宋体" w:cs="宋体"/>
          <w:color w:val="000000"/>
          <w:sz w:val="24"/>
          <w:szCs w:val="24"/>
          <w:highlight w:val="none"/>
        </w:rPr>
      </w:r>
      <w:r/>
    </w:p>
    <w:p>
      <w:pPr>
        <w:pStyle w:val="1639"/>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五、企业类型的划分以统计部门的统计数据为依据。</w:t>
      </w:r>
      <w:r>
        <w:rPr>
          <w:rFonts w:ascii="宋体" w:hAnsi="宋体" w:cs="宋体"/>
          <w:color w:val="000000"/>
          <w:sz w:val="24"/>
          <w:szCs w:val="24"/>
          <w:highlight w:val="none"/>
        </w:rPr>
      </w:r>
      <w:r/>
    </w:p>
    <w:p>
      <w:pPr>
        <w:pStyle w:val="1639"/>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六、本规定适用于在中华人民共和国境内依法设立的各类所有制和各种组织形式的企业。个体工商户和本规定以外的行业，参照本规定进行划型。</w:t>
      </w:r>
      <w:r>
        <w:rPr>
          <w:rFonts w:ascii="宋体" w:hAnsi="宋体" w:cs="宋体"/>
          <w:color w:val="000000"/>
          <w:sz w:val="24"/>
          <w:szCs w:val="24"/>
          <w:highlight w:val="none"/>
        </w:rPr>
      </w:r>
      <w:r/>
    </w:p>
    <w:p>
      <w:pPr>
        <w:pStyle w:val="1639"/>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宋体" w:hAnsi="宋体" w:cs="宋体"/>
          <w:color w:val="000000"/>
          <w:sz w:val="24"/>
          <w:szCs w:val="24"/>
          <w:highlight w:val="none"/>
        </w:rPr>
      </w:r>
      <w:r/>
    </w:p>
    <w:p>
      <w:pPr>
        <w:pStyle w:val="1639"/>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八、本规定由工业和信息化部、国家统计局会同有关部门根据《国民经济行业分类》修订情况和企业发展变化情况适时修订。</w:t>
      </w:r>
      <w:r>
        <w:rPr>
          <w:rFonts w:ascii="宋体" w:hAnsi="宋体" w:cs="宋体"/>
          <w:color w:val="000000"/>
          <w:sz w:val="24"/>
          <w:szCs w:val="24"/>
          <w:highlight w:val="none"/>
        </w:rPr>
      </w:r>
      <w:r/>
    </w:p>
    <w:p>
      <w:pPr>
        <w:pStyle w:val="1639"/>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九、本规定由工业和信息化部、国家统计局会同有关部门负责解释。</w:t>
      </w:r>
      <w:r>
        <w:rPr>
          <w:rFonts w:ascii="宋体" w:hAnsi="宋体" w:cs="宋体"/>
          <w:color w:val="000000"/>
          <w:sz w:val="24"/>
          <w:szCs w:val="24"/>
          <w:highlight w:val="none"/>
        </w:rPr>
      </w:r>
      <w:r/>
    </w:p>
    <w:p>
      <w:pPr>
        <w:pStyle w:val="1639"/>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十、本规定自发布之日起执行，原国家经贸委、原国家计委、财政部和国家统计局2003 年颁布的《中小企业标准暂行规定》同时废止。</w:t>
      </w:r>
      <w:r>
        <w:rPr>
          <w:rFonts w:ascii="宋体" w:hAnsi="宋体" w:cs="宋体"/>
          <w:color w:val="000000"/>
          <w:sz w:val="24"/>
          <w:szCs w:val="24"/>
          <w:highlight w:val="none"/>
        </w:rPr>
      </w:r>
      <w:r/>
    </w:p>
    <w:p>
      <w:pPr>
        <w:pStyle w:val="1437"/>
        <w:spacing w:before="240" w:beforeAutospacing="0" w:after="240" w:afterAutospacing="0" w:line="85" w:lineRule="atLeast"/>
        <w:rPr>
          <w:color w:val="000000"/>
          <w:highlight w:val="none"/>
        </w:rPr>
      </w:pPr>
      <w:r>
        <w:rPr>
          <w:color w:val="000000"/>
          <w:highlight w:val="none"/>
        </w:rPr>
      </w:r>
      <w:r/>
    </w:p>
    <w:p>
      <w:pPr>
        <w:pStyle w:val="1131"/>
        <w:spacing w:line="360" w:lineRule="auto"/>
        <w:rPr>
          <w:rFonts w:cs="宋体"/>
          <w:color w:val="000000"/>
          <w:sz w:val="24"/>
          <w:szCs w:val="24"/>
          <w:highlight w:val="none"/>
        </w:rPr>
      </w:pPr>
      <w:r>
        <w:rPr>
          <w:rFonts w:cs="宋体"/>
          <w:color w:val="000000"/>
          <w:sz w:val="24"/>
          <w:szCs w:val="24"/>
          <w:highlight w:val="none"/>
        </w:rPr>
      </w:r>
      <w:r/>
    </w:p>
    <w:p>
      <w:pPr>
        <w:pStyle w:val="1131"/>
        <w:spacing w:line="360" w:lineRule="auto"/>
        <w:rPr>
          <w:rFonts w:cs="宋体"/>
          <w:color w:val="000000"/>
          <w:sz w:val="24"/>
          <w:szCs w:val="24"/>
          <w:highlight w:val="none"/>
        </w:rPr>
      </w:pPr>
      <w:r>
        <w:rPr>
          <w:rFonts w:cs="宋体"/>
          <w:color w:val="000000"/>
          <w:sz w:val="24"/>
          <w:szCs w:val="24"/>
          <w:highlight w:val="none"/>
        </w:rPr>
      </w:r>
      <w:r/>
    </w:p>
    <w:p>
      <w:pPr>
        <w:pStyle w:val="1131"/>
        <w:spacing w:line="360" w:lineRule="auto"/>
        <w:rPr>
          <w:rFonts w:cs="宋体"/>
          <w:color w:val="000000"/>
          <w:sz w:val="24"/>
          <w:szCs w:val="24"/>
          <w:highlight w:val="none"/>
        </w:rPr>
      </w:pPr>
      <w:r>
        <w:rPr>
          <w:rFonts w:cs="宋体"/>
          <w:color w:val="000000"/>
          <w:sz w:val="24"/>
          <w:szCs w:val="24"/>
          <w:highlight w:val="none"/>
        </w:rPr>
      </w:r>
      <w:r/>
    </w:p>
    <w:p>
      <w:pPr>
        <w:pStyle w:val="1131"/>
        <w:spacing w:line="360" w:lineRule="auto"/>
        <w:rPr>
          <w:rFonts w:cs="宋体"/>
          <w:color w:val="000000"/>
          <w:sz w:val="24"/>
          <w:szCs w:val="24"/>
          <w:highlight w:val="none"/>
        </w:rPr>
      </w:pPr>
      <w:r>
        <w:rPr>
          <w:rFonts w:cs="宋体"/>
          <w:color w:val="000000"/>
          <w:sz w:val="24"/>
          <w:szCs w:val="24"/>
          <w:highlight w:val="none"/>
        </w:rPr>
      </w:r>
      <w:r/>
    </w:p>
    <w:p>
      <w:pPr>
        <w:pStyle w:val="1131"/>
        <w:spacing w:line="360" w:lineRule="auto"/>
        <w:rPr>
          <w:rFonts w:cs="宋体"/>
          <w:color w:val="000000"/>
          <w:sz w:val="24"/>
          <w:szCs w:val="24"/>
          <w:highlight w:val="none"/>
        </w:rPr>
      </w:pPr>
      <w:r>
        <w:rPr>
          <w:rFonts w:cs="宋体"/>
          <w:color w:val="000000"/>
          <w:sz w:val="24"/>
          <w:szCs w:val="24"/>
          <w:highlight w:val="none"/>
        </w:rPr>
      </w:r>
      <w:r/>
    </w:p>
    <w:p>
      <w:pPr>
        <w:pStyle w:val="1131"/>
        <w:spacing w:line="360" w:lineRule="auto"/>
        <w:rPr>
          <w:rFonts w:cs="宋体"/>
          <w:color w:val="000000"/>
          <w:sz w:val="24"/>
          <w:szCs w:val="24"/>
          <w:highlight w:val="none"/>
        </w:rPr>
      </w:pPr>
      <w:r>
        <w:rPr>
          <w:rFonts w:cs="宋体"/>
          <w:color w:val="000000"/>
          <w:sz w:val="24"/>
          <w:szCs w:val="24"/>
          <w:highlight w:val="none"/>
        </w:rPr>
      </w:r>
      <w:r/>
    </w:p>
    <w:p>
      <w:pPr>
        <w:pStyle w:val="1131"/>
        <w:jc w:val="center"/>
        <w:spacing w:line="360" w:lineRule="auto"/>
        <w:widowControl/>
        <w:rPr>
          <w:rFonts w:hint="eastAsia" w:ascii="宋体" w:hAnsi="宋体" w:cs="宋体"/>
          <w:color w:val="000000"/>
          <w:sz w:val="24"/>
          <w:szCs w:val="24"/>
          <w:highlight w:val="none"/>
        </w:rPr>
        <w:sectPr>
          <w:footnotePr/>
          <w:endnotePr/>
          <w:type w:val="nextPage"/>
          <w:pgSz w:w="11905" w:h="16838" w:orient="portrait"/>
          <w:pgMar w:top="1134" w:right="1134" w:bottom="1134" w:left="1417" w:header="850" w:footer="850" w:gutter="0"/>
          <w:cols w:num="1" w:sep="0" w:space="1701" w:equalWidth="1"/>
          <w:docGrid w:linePitch="360"/>
        </w:sectPr>
      </w:pPr>
      <w:r>
        <w:rPr>
          <w:rFonts w:hint="eastAsia" w:ascii="宋体" w:hAnsi="宋体" w:cs="宋体"/>
          <w:color w:val="000000"/>
          <w:sz w:val="24"/>
          <w:szCs w:val="24"/>
          <w:highlight w:val="none"/>
        </w:rPr>
      </w:r>
      <w:r/>
    </w:p>
    <w:p>
      <w:pPr>
        <w:pStyle w:val="1131"/>
        <w:jc w:val="center"/>
        <w:spacing w:line="360" w:lineRule="auto"/>
        <w:rPr>
          <w:rFonts w:ascii="宋体" w:hAnsi="宋体" w:cs="仿宋"/>
          <w:b/>
          <w:bCs/>
          <w:color w:val="000000"/>
          <w:sz w:val="28"/>
          <w:szCs w:val="28"/>
          <w:highlight w:val="none"/>
        </w:rPr>
        <w:outlineLvl w:val="2"/>
      </w:pPr>
      <w:r>
        <w:rPr>
          <w:rFonts w:hint="eastAsia" w:ascii="宋体" w:hAnsi="宋体" w:cs="宋体"/>
          <w:color w:val="000000"/>
          <w:sz w:val="24"/>
          <w:szCs w:val="24"/>
          <w:highlight w:val="none"/>
        </w:rPr>
        <w:t xml:space="preserve">（二）现场响应承诺函</w:t>
      </w:r>
      <w:r>
        <w:rPr>
          <w:rFonts w:ascii="宋体" w:hAnsi="宋体" w:cs="仿宋"/>
          <w:b/>
          <w:bCs/>
          <w:color w:val="000000"/>
          <w:sz w:val="28"/>
          <w:szCs w:val="28"/>
          <w:highlight w:val="none"/>
        </w:rPr>
      </w:r>
      <w:r/>
    </w:p>
    <w:p>
      <w:pPr>
        <w:pStyle w:val="1131"/>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致：</w:t>
      </w:r>
      <w:r>
        <w:rPr>
          <w:rFonts w:hint="eastAsia" w:ascii="宋体" w:hAnsi="宋体"/>
          <w:b/>
          <w:color w:val="000000"/>
          <w:sz w:val="24"/>
          <w:szCs w:val="24"/>
          <w:highlight w:val="none"/>
          <w:u w:val="single"/>
        </w:rPr>
        <w:t xml:space="preserve">                        </w:t>
      </w:r>
      <w:r>
        <w:rPr>
          <w:rFonts w:hint="eastAsia" w:ascii="宋体" w:hAnsi="宋体"/>
          <w:b/>
          <w:color w:val="000000"/>
          <w:sz w:val="24"/>
          <w:szCs w:val="24"/>
          <w:highlight w:val="none"/>
        </w:rPr>
        <w:t xml:space="preserve">（采购人）</w:t>
      </w:r>
      <w:r>
        <w:rPr>
          <w:rFonts w:ascii="宋体" w:hAnsi="宋体"/>
          <w:b/>
          <w:color w:val="000000"/>
          <w:sz w:val="24"/>
          <w:szCs w:val="24"/>
          <w:highlight w:val="none"/>
        </w:rPr>
      </w:r>
      <w:r/>
    </w:p>
    <w:p>
      <w:pPr>
        <w:pStyle w:val="1131"/>
        <w:ind w:firstLine="4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我公司</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已仔细研读了</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（项目名称）招标文件内容，如我方中标</w:t>
      </w:r>
      <w:r>
        <w:rPr>
          <w:rFonts w:ascii="宋体" w:hAnsi="宋体"/>
          <w:color w:val="000000"/>
          <w:sz w:val="24"/>
          <w:szCs w:val="24"/>
          <w:highlight w:val="none"/>
        </w:rPr>
      </w:r>
      <w:r/>
    </w:p>
    <w:p>
      <w:pPr>
        <w:pStyle w:val="1131"/>
        <w:ind w:firstLine="420"/>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在此郑重承诺：</w:t>
      </w:r>
      <w:r>
        <w:rPr>
          <w:rFonts w:ascii="宋体" w:hAnsi="宋体"/>
          <w:b/>
          <w:color w:val="000000"/>
          <w:sz w:val="24"/>
          <w:szCs w:val="24"/>
          <w:highlight w:val="none"/>
        </w:rPr>
      </w:r>
      <w:r/>
    </w:p>
    <w:p>
      <w:pPr>
        <w:pStyle w:val="1131"/>
        <w:ind w:firstLine="420"/>
        <w:rPr>
          <w:rFonts w:ascii="宋体" w:hAnsi="宋体"/>
          <w:color w:val="000000"/>
          <w:sz w:val="24"/>
          <w:szCs w:val="24"/>
          <w:highlight w:val="none"/>
        </w:rPr>
      </w:pPr>
      <w:r>
        <w:rPr>
          <w:rFonts w:hint="eastAsia" w:ascii="宋体" w:hAnsi="宋体"/>
          <w:color w:val="000000"/>
          <w:sz w:val="24"/>
          <w:szCs w:val="24"/>
          <w:highlight w:val="none"/>
        </w:rPr>
        <w:t xml:space="preserve">在本项目免费售后服务期内</w:t>
      </w:r>
      <w:r>
        <w:rPr>
          <w:rFonts w:ascii="宋体" w:hAnsi="宋体"/>
          <w:color w:val="000000"/>
          <w:sz w:val="24"/>
          <w:szCs w:val="24"/>
          <w:highlight w:val="none"/>
        </w:rPr>
        <w:t xml:space="preserve">故障响应时间：</w:t>
      </w:r>
      <w:r>
        <w:rPr>
          <w:rFonts w:hint="eastAsia" w:ascii="宋体" w:hAnsi="宋体"/>
          <w:color w:val="000000"/>
          <w:sz w:val="24"/>
          <w:szCs w:val="24"/>
          <w:highlight w:val="none"/>
        </w:rPr>
        <w:t xml:space="preserve">我方承诺</w:t>
      </w:r>
      <w:r>
        <w:rPr>
          <w:rFonts w:ascii="宋体" w:hAnsi="宋体"/>
          <w:color w:val="000000"/>
          <w:sz w:val="24"/>
          <w:szCs w:val="24"/>
          <w:highlight w:val="none"/>
        </w:rPr>
        <w:t xml:space="preserve">7*24小时服务、</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小时以内响应</w:t>
      </w:r>
      <w:r>
        <w:rPr>
          <w:rFonts w:hint="eastAsia" w:ascii="宋体" w:hAnsi="宋体"/>
          <w:color w:val="000000"/>
          <w:sz w:val="24"/>
          <w:szCs w:val="24"/>
          <w:highlight w:val="none"/>
        </w:rPr>
        <w:t xml:space="preserve">，并安排资深工程师在4</w:t>
      </w:r>
      <w:r>
        <w:rPr>
          <w:rFonts w:ascii="宋体" w:hAnsi="宋体"/>
          <w:color w:val="000000"/>
          <w:sz w:val="24"/>
          <w:szCs w:val="24"/>
          <w:highlight w:val="none"/>
        </w:rPr>
        <w:t xml:space="preserve">小时内到达用户单位</w:t>
      </w:r>
      <w:r>
        <w:rPr>
          <w:rFonts w:hint="eastAsia" w:ascii="宋体" w:hAnsi="宋体"/>
          <w:color w:val="000000"/>
          <w:sz w:val="24"/>
          <w:szCs w:val="24"/>
          <w:highlight w:val="none"/>
        </w:rPr>
        <w:t xml:space="preserve">解决问题。</w:t>
      </w:r>
      <w:r>
        <w:rPr>
          <w:rFonts w:ascii="宋体" w:hAnsi="宋体"/>
          <w:color w:val="000000"/>
          <w:sz w:val="24"/>
          <w:szCs w:val="24"/>
          <w:highlight w:val="none"/>
        </w:rPr>
      </w:r>
      <w:r/>
    </w:p>
    <w:p>
      <w:pPr>
        <w:pStyle w:val="113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质保期内，维修时间超过12小时的，提供备机服务。</w:t>
      </w:r>
      <w:r>
        <w:rPr>
          <w:rFonts w:ascii="宋体" w:hAnsi="宋体"/>
          <w:color w:val="000000"/>
          <w:sz w:val="24"/>
          <w:szCs w:val="24"/>
          <w:highlight w:val="none"/>
        </w:rPr>
      </w:r>
      <w:r/>
    </w:p>
    <w:p>
      <w:pPr>
        <w:pStyle w:val="1131"/>
        <w:ind w:firstLine="420"/>
        <w:rPr>
          <w:rFonts w:ascii="宋体" w:hAnsi="宋体"/>
          <w:color w:val="000000"/>
          <w:sz w:val="24"/>
          <w:szCs w:val="24"/>
          <w:highlight w:val="none"/>
        </w:rPr>
      </w:pPr>
      <w:r>
        <w:rPr>
          <w:rFonts w:ascii="宋体" w:hAnsi="宋体"/>
          <w:color w:val="000000"/>
          <w:sz w:val="24"/>
          <w:szCs w:val="24"/>
          <w:highlight w:val="none"/>
        </w:rPr>
      </w:r>
      <w:r/>
    </w:p>
    <w:p>
      <w:pPr>
        <w:pStyle w:val="113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如有违背以上承诺，招标人有权自行选择维修单位并从我方的工程款中直接扣除维修费用支付给维修单位并对我方处以维修费用等额的违约金。</w:t>
      </w:r>
      <w:r>
        <w:rPr>
          <w:rFonts w:ascii="宋体" w:hAnsi="宋体"/>
          <w:color w:val="000000"/>
          <w:sz w:val="24"/>
          <w:szCs w:val="24"/>
          <w:highlight w:val="none"/>
        </w:rPr>
      </w:r>
      <w:r/>
    </w:p>
    <w:p>
      <w:pPr>
        <w:pStyle w:val="1131"/>
        <w:ind w:left="-2" w:firstLine="40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131"/>
        <w:ind w:left="-2" w:firstLine="40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131"/>
        <w:ind w:left="-2" w:firstLine="40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承诺单位：（公章）</w:t>
      </w:r>
      <w:r>
        <w:rPr>
          <w:rFonts w:ascii="宋体" w:hAnsi="宋体"/>
          <w:color w:val="000000"/>
          <w:sz w:val="24"/>
          <w:szCs w:val="24"/>
          <w:highlight w:val="none"/>
        </w:rPr>
      </w:r>
      <w:r/>
    </w:p>
    <w:p>
      <w:pPr>
        <w:pStyle w:val="1131"/>
        <w:ind w:firstLine="420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131"/>
        <w:ind w:firstLine="5160"/>
        <w:spacing w:line="360" w:lineRule="auto"/>
        <w:rPr>
          <w:rFonts w:hint="eastAsia" w:ascii="宋体" w:hAnsi="宋体"/>
          <w:color w:val="000000"/>
          <w:sz w:val="24"/>
          <w:szCs w:val="24"/>
          <w:highlight w:val="none"/>
        </w:rPr>
        <w:sectPr>
          <w:footnotePr/>
          <w:endnotePr/>
          <w:type w:val="nextPage"/>
          <w:pgSz w:w="11905" w:h="16838" w:orient="portrait"/>
          <w:pgMar w:top="1134" w:right="1134" w:bottom="1134" w:left="1417" w:header="850" w:footer="850" w:gutter="0"/>
          <w:cols w:num="1" w:sep="0" w:space="1701" w:equalWidth="1"/>
          <w:docGrid w:linePitch="360"/>
        </w:sectPr>
      </w:pPr>
      <w:r>
        <w:rPr>
          <w:rFonts w:hint="eastAsia" w:ascii="宋体" w:hAnsi="宋体"/>
          <w:color w:val="000000"/>
          <w:sz w:val="24"/>
          <w:szCs w:val="24"/>
          <w:highlight w:val="none"/>
        </w:rPr>
        <w:t xml:space="preserve">年   月      日</w:t>
      </w:r>
      <w:r>
        <w:rPr>
          <w:rFonts w:hint="eastAsia" w:ascii="宋体" w:hAnsi="宋体"/>
          <w:color w:val="000000"/>
          <w:sz w:val="24"/>
          <w:szCs w:val="24"/>
          <w:highlight w:val="none"/>
        </w:rPr>
      </w:r>
      <w:r/>
    </w:p>
    <w:p>
      <w:pPr>
        <w:pStyle w:val="1729"/>
        <w:spacing w:before="120" w:after="120" w:line="360" w:lineRule="auto"/>
        <w:rPr>
          <w:rFonts w:ascii="宋体" w:hAnsi="宋体" w:cs="宋体"/>
          <w:b w:val="0"/>
          <w:bCs w:val="0"/>
          <w:color w:val="000000"/>
          <w:sz w:val="28"/>
          <w:szCs w:val="28"/>
          <w:highlight w:val="none"/>
        </w:rPr>
      </w:pPr>
      <w:r>
        <w:rPr>
          <w:rFonts w:hint="eastAsia" w:ascii="宋体" w:hAnsi="宋体" w:eastAsia="宋体" w:cs="宋体"/>
          <w:b w:val="0"/>
          <w:bCs w:val="0"/>
          <w:color w:val="000000"/>
          <w:sz w:val="24"/>
          <w:szCs w:val="24"/>
          <w:highlight w:val="none"/>
        </w:rPr>
        <w:t xml:space="preserve">（三）材料与设备供货承诺</w:t>
      </w:r>
      <w:r>
        <w:rPr>
          <w:rFonts w:ascii="宋体" w:hAnsi="宋体" w:cs="宋体"/>
          <w:b w:val="0"/>
          <w:bCs w:val="0"/>
          <w:color w:val="000000"/>
          <w:sz w:val="28"/>
          <w:szCs w:val="28"/>
          <w:highlight w:val="none"/>
        </w:rPr>
      </w:r>
      <w:r/>
    </w:p>
    <w:p>
      <w:pPr>
        <w:pStyle w:val="113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olor w:val="000000"/>
          <w:spacing w:val="-5"/>
          <w:sz w:val="24"/>
          <w:highlight w:val="none"/>
          <w:u w:val="single"/>
        </w:rPr>
        <w:t xml:space="preserve">（招采购人名称）</w:t>
      </w:r>
      <w:r>
        <w:rPr>
          <w:rFonts w:ascii="宋体" w:hAnsi="宋体" w:cs="宋体"/>
          <w:color w:val="000000"/>
          <w:sz w:val="24"/>
          <w:highlight w:val="none"/>
        </w:rPr>
      </w:r>
      <w:r/>
    </w:p>
    <w:p>
      <w:pPr>
        <w:pStyle w:val="11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我单位自愿参加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项目的投标活动，并郑重承诺：</w:t>
      </w:r>
      <w:r>
        <w:rPr>
          <w:rFonts w:ascii="宋体" w:hAnsi="宋体" w:cs="宋体"/>
          <w:color w:val="000000"/>
          <w:sz w:val="24"/>
          <w:highlight w:val="none"/>
        </w:rPr>
      </w:r>
      <w:r/>
    </w:p>
    <w:p>
      <w:pPr>
        <w:pStyle w:val="11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1、我方提供的投入本项目的材料与设备各项指标除招标文件第四部分采购需求中的技术参数要求的以外的指标均符合国家或行业相关标准，并且满足招标人提出的性能要求。</w:t>
      </w:r>
      <w:r>
        <w:rPr>
          <w:rFonts w:hint="eastAsia" w:ascii="宋体" w:hAnsi="宋体" w:cs="宋体"/>
          <w:color w:val="000000"/>
          <w:sz w:val="24"/>
          <w:highlight w:val="none"/>
        </w:rPr>
      </w:r>
      <w:r/>
    </w:p>
    <w:p>
      <w:pPr>
        <w:pStyle w:val="11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2、我方如有违背上述承诺，我方将自动放弃中标。我方愿意接受国家和相关主管部门依法进行的处罚，以及按照信用管理规定记入相关责任主体和责任人信用档案，同时在政府相关信用网站公开。</w:t>
      </w:r>
      <w:r>
        <w:rPr>
          <w:rFonts w:ascii="宋体" w:hAnsi="宋体" w:cs="宋体"/>
          <w:color w:val="000000"/>
          <w:sz w:val="24"/>
          <w:highlight w:val="none"/>
        </w:rPr>
      </w:r>
      <w:r/>
    </w:p>
    <w:p>
      <w:pPr>
        <w:pStyle w:val="1131"/>
        <w:ind w:firstLine="3990"/>
        <w:spacing w:line="360" w:lineRule="auto"/>
        <w:rPr>
          <w:rFonts w:ascii="宋体" w:hAnsi="宋体" w:cs="宋体"/>
          <w:color w:val="000000"/>
          <w:highlight w:val="none"/>
        </w:rPr>
      </w:pPr>
      <w:r>
        <w:rPr>
          <w:rFonts w:ascii="宋体" w:hAnsi="宋体" w:cs="宋体"/>
          <w:color w:val="000000"/>
          <w:highlight w:val="none"/>
        </w:rPr>
      </w:r>
      <w:r/>
    </w:p>
    <w:p>
      <w:pPr>
        <w:pStyle w:val="1131"/>
        <w:ind w:left="-2" w:firstLine="40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承诺单位：（公章）</w:t>
      </w:r>
      <w:r>
        <w:rPr>
          <w:rFonts w:ascii="宋体" w:hAnsi="宋体"/>
          <w:color w:val="000000"/>
          <w:sz w:val="24"/>
          <w:szCs w:val="24"/>
          <w:highlight w:val="none"/>
        </w:rPr>
      </w:r>
      <w:r/>
    </w:p>
    <w:p>
      <w:pPr>
        <w:pStyle w:val="1131"/>
        <w:ind w:firstLine="420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131"/>
        <w:ind w:firstLine="960"/>
        <w:jc w:val="right"/>
        <w:spacing w:line="360" w:lineRule="auto"/>
        <w:rPr>
          <w:rFonts w:hint="eastAsia" w:ascii="宋体" w:hAnsi="宋体" w:cs="宋体"/>
          <w:color w:val="000000"/>
          <w:sz w:val="24"/>
          <w:highlight w:val="none"/>
        </w:rPr>
        <w:sectPr>
          <w:footnotePr/>
          <w:endnotePr/>
          <w:type w:val="nextPage"/>
          <w:pgSz w:w="11905" w:h="16838" w:orient="portrait"/>
          <w:pgMar w:top="1134" w:right="1134" w:bottom="1134" w:left="1417" w:header="850" w:footer="850" w:gutter="0"/>
          <w:cols w:num="1" w:sep="0" w:space="1701" w:equalWidth="1"/>
          <w:docGrid w:linePitch="360"/>
        </w:sectPr>
      </w:pPr>
      <w:r>
        <w:rPr>
          <w:rFonts w:hint="eastAsia" w:ascii="宋体" w:hAnsi="宋体"/>
          <w:color w:val="000000"/>
          <w:sz w:val="24"/>
          <w:szCs w:val="24"/>
          <w:highlight w:val="none"/>
        </w:rPr>
        <w:t xml:space="preserve">年   月      日</w:t>
      </w:r>
      <w:r>
        <w:rPr>
          <w:rFonts w:hint="eastAsia" w:ascii="宋体" w:hAnsi="宋体" w:cs="宋体"/>
          <w:color w:val="000000"/>
          <w:sz w:val="24"/>
          <w:highlight w:val="none"/>
        </w:rPr>
      </w:r>
      <w:r/>
    </w:p>
    <w:p>
      <w:pPr>
        <w:pStyle w:val="1131"/>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(四)按招标文件要求投标人所能提供的其他文件</w:t>
      </w:r>
      <w:r>
        <w:rPr>
          <w:rFonts w:ascii="宋体" w:hAnsi="宋体" w:cs="宋体"/>
          <w:color w:val="000000"/>
          <w:sz w:val="24"/>
          <w:szCs w:val="24"/>
          <w:highlight w:val="none"/>
        </w:rPr>
      </w:r>
      <w:r/>
    </w:p>
    <w:p>
      <w:pPr>
        <w:pStyle w:val="1143"/>
        <w:rPr>
          <w:rFonts w:hint="eastAsia"/>
          <w:color w:val="000000"/>
          <w:highlight w:val="none"/>
        </w:rPr>
      </w:pPr>
      <w:r>
        <w:rPr>
          <w:rFonts w:hint="eastAsia"/>
          <w:color w:val="000000"/>
          <w:highlight w:val="none"/>
        </w:rPr>
      </w:r>
      <w:r/>
    </w:p>
    <w:p>
      <w:pPr>
        <w:pStyle w:val="1135"/>
        <w:rPr>
          <w:rFonts w:hint="eastAsia"/>
          <w:color w:val="000000"/>
          <w:highlight w:val="none"/>
        </w:rPr>
      </w:pPr>
      <w:r>
        <w:rPr>
          <w:rFonts w:hint="eastAsia"/>
          <w:color w:val="000000"/>
          <w:highlight w:val="none"/>
        </w:rPr>
      </w:r>
      <w:r/>
    </w:p>
    <w:sectPr>
      <w:footnotePr/>
      <w:endnotePr/>
      <w:type w:val="nextPage"/>
      <w:pgSz w:w="11905" w:h="16838" w:orient="portrait"/>
      <w:pgMar w:top="1134" w:right="1134" w:bottom="1134" w:left="1417" w:header="850"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TimesNewRomanPSMT">
    <w:panose1 w:val="02020603050405020304"/>
  </w:font>
  <w:font w:name="Helvetica">
    <w:panose1 w:val="020B0604020202020204"/>
  </w:font>
  <w:font w:name="楷体">
    <w:panose1 w:val="02010609060101010101"/>
  </w:font>
  <w:font w:name="Book Antiqua">
    <w:panose1 w:val="02040602050305030304"/>
  </w:font>
  <w:font w:name="Tahoma">
    <w:panose1 w:val="020B0604030504040204"/>
  </w:font>
  <w:font w:name="Arial Unicode MS">
    <w:panose1 w:val="020B0604020202020204"/>
  </w:font>
  <w:font w:name="等线">
    <w:panose1 w:val="02010600030101010101"/>
  </w:font>
  <w:font w:name="仿宋">
    <w:panose1 w:val="02010609060101010101"/>
  </w:font>
  <w:font w:name="方正行楷简体">
    <w:panose1 w:val="020B0503020202020204"/>
  </w:font>
  <w:font w:name="Cambria">
    <w:panose1 w:val="02040503050406030204"/>
  </w:font>
  <w:font w:name="方正仿宋_GBK">
    <w:panose1 w:val="020B0503020202020204"/>
  </w:font>
  <w:font w:name="Calibri">
    <w:panose1 w:val="020F0502020204030204"/>
  </w:font>
  <w:font w:name="Garamond">
    <w:panose1 w:val="02020404030301010803"/>
  </w:font>
  <w:font w:name="Verdana">
    <w:panose1 w:val="020B0604030504040204"/>
  </w:font>
  <w:font w:name="Taipei">
    <w:panose1 w:val="020B0503020202020204"/>
  </w:font>
  <w:font w:name="仿宋_GB2312">
    <w:panose1 w:val="02010609060101010101"/>
  </w:font>
  <w:font w:name="幼圆">
    <w:panose1 w:val="02010509060101010101"/>
  </w:font>
  <w:font w:name="黑体">
    <w:panose1 w:val="02010609060101010101"/>
  </w:font>
  <w:font w:name="Courier New">
    <w:panose1 w:val="02070309020205020404"/>
  </w:font>
  <w:font w:name="楷体_GB2312">
    <w:panose1 w:val="02010609060101010101"/>
  </w:font>
  <w:font w:name="Wingdings">
    <w:panose1 w:val="05000000000000000000"/>
  </w:font>
  <w:font w:name="华文楷体">
    <w:panose1 w:val="02010600040101010101"/>
  </w:font>
  <w:font w:name="Franklin Gothic Book">
    <w:panose1 w:val="020B05030201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7"/>
      <w:ind w:firstLine="360"/>
      <w:jc w:val="center"/>
      <w:tabs>
        <w:tab w:val="center" w:pos="4153" w:leader="none"/>
        <w:tab w:val="right" w:pos="8306" w:leader="none"/>
      </w:tabs>
    </w:pPr>
    <w:r>
      <w:rPr>
        <w:rFonts w:hint="eastAsia"/>
        <w:highlight w:val="white"/>
      </w:rPr>
      <w:t xml:space="preserve">1</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7"/>
      <w:jc w:val="center"/>
      <w:tabs>
        <w:tab w:val="center" w:pos="4153" w:leader="none"/>
        <w:tab w:val="right" w:pos="8306" w:leader="none"/>
      </w:tabs>
    </w:pPr>
    <w:r/>
    <w:r/>
  </w:p>
  <w:p>
    <w:pPr>
      <w:pStyle w:val="1407"/>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7"/>
      <w:ind w:firstLine="360"/>
      <w:jc w:val="center"/>
      <w:tabs>
        <w:tab w:val="center" w:pos="4153" w:leader="none"/>
        <w:tab w:val="right" w:pos="8306" w:leader="none"/>
      </w:tabs>
    </w:pPr>
    <w:r>
      <w:rPr>
        <w:rFonts w:hint="eastAsia"/>
        <w:highlight w:val="white"/>
      </w:rPr>
      <w:t xml:space="preserve">1</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7"/>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7"/>
                            <w:jc w:val="center"/>
                            <w:tabs>
                              <w:tab w:val="clear" w:pos="4153" w:leader="none"/>
                              <w:tab w:val="clear" w:pos="8306" w:leader="none"/>
                            </w:tabs>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1</w:t>
                          </w:r>
                          <w:r>
                            <w:rPr>
                              <w:lang w:val="zh-CN"/>
                            </w:rPr>
                            <w:fldChar w:fldCharType="end"/>
                          </w:r>
                          <w:r/>
                        </w:p>
                        <w:p>
                          <w:pPr>
                            <w:pStyle w:val="1131"/>
                          </w:pPr>
                          <w:r/>
                          <w:r/>
                        </w:p>
                        <w:p>
                          <w:pPr>
                            <w:pStyle w:val="113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7"/>
                      <w:jc w:val="center"/>
                      <w:tabs>
                        <w:tab w:val="clear" w:pos="4153" w:leader="none"/>
                        <w:tab w:val="clear" w:pos="8306" w:leader="none"/>
                      </w:tabs>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1</w:t>
                    </w:r>
                    <w:r>
                      <w:rPr>
                        <w:lang w:val="zh-CN"/>
                      </w:rPr>
                      <w:fldChar w:fldCharType="end"/>
                    </w:r>
                    <w:r/>
                  </w:p>
                  <w:p>
                    <w:pPr>
                      <w:pStyle w:val="1131"/>
                    </w:pPr>
                    <w:r/>
                    <w:r/>
                  </w:p>
                  <w:p>
                    <w:pPr>
                      <w:pStyle w:val="1131"/>
                    </w:pPr>
                    <w:r/>
                    <w:r/>
                  </w:p>
                </w:txbxContent>
              </v:textbox>
            </v:shape>
          </w:pict>
        </mc:Fallback>
      </mc:AlternateContent>
    </w:r>
    <w:r/>
  </w:p>
  <w:p>
    <w:pPr>
      <w:pStyle w:val="1407"/>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7"/>
      <w:tabs>
        <w:tab w:val="center" w:pos="4153" w:leader="none"/>
        <w:tab w:val="right" w:pos="8306" w:leader="none"/>
      </w:tabs>
      <w:rPr>
        <w:rStyle w:val="1450"/>
      </w:rPr>
      <w:framePr w:wrap="around" w:vAnchor="text" w:hAnchor="margin" w:xAlign="center" w:y="1"/>
    </w:pPr>
    <w:r>
      <w:fldChar w:fldCharType="begin"/>
    </w:r>
    <w:r>
      <w:rPr>
        <w:rStyle w:val="1450"/>
        <w:highlight w:val="white"/>
      </w:rPr>
      <w:instrText xml:space="preserve">PAGE  </w:instrText>
    </w:r>
    <w:r>
      <w:fldChar w:fldCharType="end"/>
    </w:r>
    <w:r>
      <w:rPr>
        <w:rStyle w:val="1450"/>
      </w:rPr>
    </w:r>
    <w:r/>
  </w:p>
  <w:p>
    <w:pPr>
      <w:pStyle w:val="1407"/>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7"/>
                            <w:jc w:val="center"/>
                            <w:tabs>
                              <w:tab w:val="clear" w:pos="4153" w:leader="none"/>
                              <w:tab w:val="clear" w:pos="8306" w:leader="none"/>
                            </w:tabs>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1</w:t>
                          </w:r>
                          <w:r>
                            <w:rPr>
                              <w:lang w:val="zh-CN"/>
                            </w:rPr>
                            <w:fldChar w:fldCharType="end"/>
                          </w:r>
                          <w:r/>
                        </w:p>
                        <w:p>
                          <w:pPr>
                            <w:pStyle w:val="1131"/>
                          </w:pPr>
                          <w:r/>
                          <w:r/>
                        </w:p>
                        <w:p>
                          <w:pPr>
                            <w:pStyle w:val="113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7"/>
                      <w:jc w:val="center"/>
                      <w:tabs>
                        <w:tab w:val="clear" w:pos="4153" w:leader="none"/>
                        <w:tab w:val="clear" w:pos="8306" w:leader="none"/>
                      </w:tabs>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1</w:t>
                    </w:r>
                    <w:r>
                      <w:rPr>
                        <w:lang w:val="zh-CN"/>
                      </w:rPr>
                      <w:fldChar w:fldCharType="end"/>
                    </w:r>
                    <w:r/>
                  </w:p>
                  <w:p>
                    <w:pPr>
                      <w:pStyle w:val="1131"/>
                    </w:pPr>
                    <w:r/>
                    <w:r/>
                  </w:p>
                  <w:p>
                    <w:pPr>
                      <w:pStyle w:val="1131"/>
                    </w:pPr>
                    <w:r/>
                    <w:r/>
                  </w:p>
                </w:txbxContent>
              </v:textbox>
            </v:shape>
          </w:pict>
        </mc:Fallback>
      </mc:AlternateContent>
    </w:r>
    <w:r/>
  </w:p>
  <w:p>
    <w:pPr>
      <w:pStyle w:val="1407"/>
      <w:jc w:val="center"/>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6"/>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pPr>
                            <w:pStyle w:val="1131"/>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6"/>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pPr>
                      <w:pStyle w:val="1131"/>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6"/>
                            <w:tabs>
                              <w:tab w:val="clear" w:pos="7143" w:leader="none"/>
                              <w:tab w:val="clear" w:pos="14287" w:leader="none"/>
                            </w:tabs>
                          </w:pPr>
                          <w:r>
                            <w:fldChar w:fldCharType="begin"/>
                          </w:r>
                          <w:r>
                            <w:instrText xml:space="preserve"> PAGE  \* MERGEFORMAT </w:instrText>
                          </w:r>
                          <w:r>
                            <w:fldChar w:fldCharType="separate"/>
                          </w:r>
                          <w:r>
                            <w:t xml:space="preserve">47</w:t>
                          </w:r>
                          <w:r>
                            <w:fldChar w:fldCharType="end"/>
                          </w:r>
                          <w:r/>
                        </w:p>
                        <w:p>
                          <w:pPr>
                            <w:pStyle w:val="1131"/>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6"/>
                      <w:tabs>
                        <w:tab w:val="clear" w:pos="7143" w:leader="none"/>
                        <w:tab w:val="clear" w:pos="14287" w:leader="none"/>
                      </w:tabs>
                    </w:pPr>
                    <w:r>
                      <w:fldChar w:fldCharType="begin"/>
                    </w:r>
                    <w:r>
                      <w:instrText xml:space="preserve"> PAGE  \* MERGEFORMAT </w:instrText>
                    </w:r>
                    <w:r>
                      <w:fldChar w:fldCharType="separate"/>
                    </w:r>
                    <w:r>
                      <w:t xml:space="preserve">47</w:t>
                    </w:r>
                    <w:r>
                      <w:fldChar w:fldCharType="end"/>
                    </w:r>
                    <w:r/>
                  </w:p>
                  <w:p>
                    <w:pPr>
                      <w:pStyle w:val="1131"/>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0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0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79</w:t>
                          </w:r>
                          <w:r>
                            <w:rPr>
                              <w:lang w:val="zh-CN"/>
                            </w:rPr>
                            <w:fldChar w:fldCharType="end"/>
                          </w:r>
                          <w:r/>
                        </w:p>
                        <w:p>
                          <w:pPr>
                            <w:pStyle w:val="1131"/>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0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79</w:t>
                    </w:r>
                    <w:r>
                      <w:rPr>
                        <w:lang w:val="zh-CN"/>
                      </w:rPr>
                      <w:fldChar w:fldCharType="end"/>
                    </w:r>
                    <w:r/>
                  </w:p>
                  <w:p>
                    <w:pPr>
                      <w:pStyle w:val="1131"/>
                    </w:pPr>
                    <w:r/>
                    <w:r/>
                  </w:p>
                </w:txbxContent>
              </v:textbox>
            </v:shape>
          </w:pict>
        </mc:Fallback>
      </mc:AlternateContent>
    </w:r>
    <w:r/>
  </w:p>
  <w:p>
    <w:pPr>
      <w:pStyle w:val="170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0"/>
      <w:tabs>
        <w:tab w:val="center" w:pos="4153" w:leader="none"/>
        <w:tab w:val="right" w:pos="8306" w:leader="none"/>
      </w:tabs>
    </w:pPr>
    <w:r>
      <w:rPr>
        <w:rFonts w:hint="eastAsia"/>
        <w:b/>
        <w:sz w:val="21"/>
        <w:szCs w:val="21"/>
      </w:rPr>
      <w:t xml:space="preserve">第一部分  投标邀请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0"/>
      <w:tabs>
        <w:tab w:val="center" w:pos="4153" w:leader="none"/>
        <w:tab w:val="right" w:pos="8306" w:leader="none"/>
      </w:tabs>
      <w:rPr>
        <w:b/>
        <w:sz w:val="21"/>
        <w:szCs w:val="21"/>
      </w:rPr>
    </w:pPr>
    <w:r>
      <w:rPr>
        <w:rFonts w:hint="eastAsia"/>
        <w:b/>
        <w:sz w:val="21"/>
        <w:szCs w:val="21"/>
      </w:rPr>
      <w:t xml:space="preserve">第一部分  投标邀请</w:t>
    </w:r>
    <w:r>
      <w:rPr>
        <w:b/>
        <w:sz w:val="21"/>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0"/>
      <w:tabs>
        <w:tab w:val="center" w:pos="4153" w:leader="none"/>
        <w:tab w:val="right" w:pos="8306" w:leader="none"/>
      </w:tabs>
      <w:rPr>
        <w:b/>
        <w:sz w:val="21"/>
        <w:szCs w:val="21"/>
      </w:rPr>
    </w:pPr>
    <w:r>
      <w:rPr>
        <w:rFonts w:hint="eastAsia"/>
        <w:b/>
        <w:sz w:val="21"/>
        <w:szCs w:val="21"/>
      </w:rPr>
      <w:t xml:space="preserve">第二部分  投标人须知</w:t>
    </w:r>
    <w:r>
      <w:rPr>
        <w:b/>
        <w:sz w:val="21"/>
        <w:szCs w:val="21"/>
      </w:rPr>
    </w:r>
    <w:r/>
  </w:p>
  <w:p>
    <w:pPr>
      <w:pStyle w:val="1410"/>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0"/>
      <w:tabs>
        <w:tab w:val="center" w:pos="4153" w:leader="none"/>
        <w:tab w:val="right" w:pos="8306" w:leader="none"/>
      </w:tabs>
      <w:rPr>
        <w:rFonts w:hint="eastAsia"/>
        <w:b/>
        <w:sz w:val="21"/>
        <w:szCs w:val="21"/>
        <w:lang w:eastAsia="zh-CN"/>
      </w:rPr>
    </w:pPr>
    <w:r>
      <w:rPr>
        <w:rFonts w:hint="eastAsia"/>
        <w:b/>
        <w:sz w:val="21"/>
        <w:szCs w:val="21"/>
      </w:rPr>
      <w:t xml:space="preserve">第</w:t>
    </w:r>
    <w:r>
      <w:rPr>
        <w:rFonts w:hint="eastAsia"/>
        <w:b/>
        <w:sz w:val="21"/>
        <w:szCs w:val="21"/>
        <w:lang w:eastAsia="zh-CN"/>
      </w:rPr>
      <w:t xml:space="preserve">三</w:t>
    </w:r>
    <w:r>
      <w:rPr>
        <w:rFonts w:hint="eastAsia"/>
        <w:b/>
        <w:sz w:val="21"/>
        <w:szCs w:val="21"/>
      </w:rPr>
      <w:t xml:space="preserve">部分  </w:t>
    </w:r>
    <w:r>
      <w:rPr>
        <w:rFonts w:hint="eastAsia"/>
        <w:b/>
        <w:sz w:val="21"/>
        <w:szCs w:val="21"/>
        <w:lang w:eastAsia="zh-CN"/>
      </w:rPr>
      <w:t xml:space="preserve">合同</w:t>
    </w:r>
    <w:r>
      <w:rPr>
        <w:rFonts w:hint="eastAsia"/>
        <w:b/>
        <w:sz w:val="21"/>
        <w:szCs w:val="21"/>
        <w:lang w:eastAsia="zh-CN"/>
      </w:rPr>
    </w:r>
    <w:r/>
  </w:p>
  <w:p>
    <w:pPr>
      <w:pStyle w:val="1410"/>
      <w:tabs>
        <w:tab w:val="center" w:pos="4153" w:leader="none"/>
        <w:tab w:val="right"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0"/>
      <w:tabs>
        <w:tab w:val="center" w:pos="4153" w:leader="none"/>
        <w:tab w:val="right" w:pos="8306" w:leader="none"/>
      </w:tabs>
      <w:rPr>
        <w:rFonts w:hint="eastAsia"/>
        <w:b/>
        <w:sz w:val="21"/>
        <w:szCs w:val="21"/>
        <w:lang w:eastAsia="zh-CN"/>
      </w:rPr>
    </w:pPr>
    <w:r>
      <w:rPr>
        <w:rFonts w:hint="eastAsia"/>
        <w:b/>
        <w:sz w:val="21"/>
        <w:szCs w:val="21"/>
      </w:rPr>
      <w:t xml:space="preserve">第</w:t>
    </w:r>
    <w:r>
      <w:rPr>
        <w:rFonts w:hint="eastAsia"/>
        <w:b/>
        <w:sz w:val="21"/>
        <w:szCs w:val="21"/>
        <w:lang w:eastAsia="zh-CN"/>
      </w:rPr>
      <w:t xml:space="preserve">三</w:t>
    </w:r>
    <w:r>
      <w:rPr>
        <w:rFonts w:hint="eastAsia"/>
        <w:b/>
        <w:sz w:val="21"/>
        <w:szCs w:val="21"/>
      </w:rPr>
      <w:t xml:space="preserve">部分  </w:t>
    </w:r>
    <w:r>
      <w:rPr>
        <w:rFonts w:hint="eastAsia"/>
        <w:b/>
        <w:sz w:val="21"/>
        <w:szCs w:val="21"/>
        <w:lang w:eastAsia="zh-CN"/>
      </w:rPr>
      <w:t xml:space="preserve">合同</w:t>
    </w:r>
    <w:r>
      <w:rPr>
        <w:rFonts w:hint="eastAsia"/>
        <w:b/>
        <w:sz w:val="21"/>
        <w:szCs w:val="21"/>
        <w:lang w:eastAsia="zh-CN"/>
      </w:rPr>
    </w:r>
    <w:r/>
  </w:p>
  <w:p>
    <w:pPr>
      <w:pStyle w:val="1410"/>
      <w:tabs>
        <w:tab w:val="center" w:pos="4153" w:leader="none"/>
        <w:tab w:val="right" w:pos="8306" w:leader="none"/>
      </w:tabs>
      <w:pBdr>
        <w:bottom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0"/>
      <w:tabs>
        <w:tab w:val="center" w:pos="4153" w:leader="none"/>
        <w:tab w:val="right" w:pos="8306" w:leader="none"/>
      </w:tabs>
      <w:rPr>
        <w:rFonts w:hint="eastAsia"/>
        <w:b/>
        <w:sz w:val="21"/>
        <w:szCs w:val="21"/>
        <w:lang w:eastAsia="zh-CN"/>
      </w:rPr>
    </w:pPr>
    <w:r>
      <w:rPr>
        <w:rFonts w:hint="eastAsia"/>
        <w:b/>
        <w:sz w:val="21"/>
        <w:szCs w:val="21"/>
      </w:rPr>
      <w:t xml:space="preserve">第</w:t>
    </w:r>
    <w:r>
      <w:rPr>
        <w:rFonts w:hint="eastAsia"/>
        <w:b/>
        <w:sz w:val="21"/>
        <w:szCs w:val="21"/>
        <w:lang w:eastAsia="zh-CN"/>
      </w:rPr>
      <w:t xml:space="preserve">四</w:t>
    </w:r>
    <w:r>
      <w:rPr>
        <w:rFonts w:hint="eastAsia"/>
        <w:b/>
        <w:sz w:val="21"/>
        <w:szCs w:val="21"/>
      </w:rPr>
      <w:t xml:space="preserve">部分    </w:t>
    </w:r>
    <w:r>
      <w:rPr>
        <w:rFonts w:hint="eastAsia"/>
        <w:b/>
        <w:sz w:val="21"/>
        <w:szCs w:val="21"/>
        <w:lang w:eastAsia="zh-CN"/>
      </w:rPr>
      <w:t xml:space="preserve">采购需求</w:t>
    </w:r>
    <w:r>
      <w:rPr>
        <w:rFonts w:hint="eastAsia"/>
        <w:b/>
        <w:sz w:val="21"/>
        <w:szCs w:val="21"/>
        <w:lang w:eastAsia="zh-CN"/>
      </w:rPr>
    </w:r>
    <w:r/>
  </w:p>
  <w:p>
    <w:pPr>
      <w:pStyle w:val="1410"/>
      <w:tabs>
        <w:tab w:val="center" w:pos="4153" w:leader="none"/>
        <w:tab w:val="right" w:pos="8306" w:leader="none"/>
      </w:tabs>
      <w:pBdr>
        <w:bottom w:val="none" w:color="000000"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0"/>
      <w:tabs>
        <w:tab w:val="center" w:pos="4153" w:leader="none"/>
        <w:tab w:val="right" w:pos="8306" w:leader="none"/>
      </w:tabs>
      <w:rPr>
        <w:b/>
        <w:sz w:val="21"/>
        <w:szCs w:val="21"/>
      </w:rPr>
    </w:pPr>
    <w:r>
      <w:rPr>
        <w:rFonts w:hint="eastAsia"/>
        <w:b/>
        <w:sz w:val="21"/>
        <w:szCs w:val="21"/>
      </w:rPr>
      <w:t xml:space="preserve">第四部分  采购需求</w:t>
    </w:r>
    <w:r>
      <w:rPr>
        <w:b/>
        <w:sz w:val="21"/>
        <w:szCs w:val="21"/>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0"/>
      <w:tabs>
        <w:tab w:val="center" w:pos="4153" w:leader="none"/>
        <w:tab w:val="right" w:pos="8306" w:leader="none"/>
      </w:tabs>
    </w:pPr>
    <w:r>
      <w:rPr>
        <w:rFonts w:hint="eastAsia"/>
      </w:rPr>
      <w:t xml:space="preserve">第五部分  评标办法和标准</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0"/>
      <w:tabs>
        <w:tab w:val="center" w:pos="4153" w:leader="none"/>
        <w:tab w:val="right" w:pos="8306" w:leader="none"/>
      </w:tabs>
    </w:pPr>
    <w:r>
      <w:rPr>
        <w:rFonts w:hint="eastAsia"/>
      </w:rPr>
      <w:t xml:space="preserve">第六部分  投标文件格式</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0"/>
      <w:tabs>
        <w:tab w:val="center" w:pos="4153" w:leader="none"/>
        <w:tab w:val="right" w:pos="8306" w:leader="none"/>
      </w:tabs>
    </w:pPr>
    <w:r>
      <w:rPr>
        <w:rFonts w:hint="eastAsia"/>
      </w:rPr>
      <w:t xml:space="preserve">第六部分  响应文件格式</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0"/>
      <w:tabs>
        <w:tab w:val="center" w:pos="4153" w:leader="none"/>
        <w:tab w:val="right" w:pos="8306" w:leader="none"/>
      </w:tabs>
      <w:rPr>
        <w:b/>
        <w:sz w:val="21"/>
        <w:szCs w:val="21"/>
      </w:rPr>
    </w:pPr>
    <w:r>
      <w:rPr>
        <w:rFonts w:hint="eastAsia"/>
      </w:rPr>
      <w:t xml:space="preserve">第六部分  响应文件格式</w:t>
    </w:r>
    <w:r>
      <w:rPr>
        <w:b/>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649"/>
      <w:isLgl w:val="false"/>
      <w:suff w:val="tab"/>
      <w:lvlText w:val="表%1"/>
      <w:lvlJc w:val="center"/>
      <w:pPr>
        <w:pStyle w:val="1131"/>
        <w:ind w:left="420" w:hanging="132"/>
        <w:tabs>
          <w:tab w:val="num" w:pos="420" w:leader="none"/>
        </w:tabs>
      </w:pPr>
      <w:rPr>
        <w:rFonts w:hint="eastAsia"/>
      </w:rPr>
    </w:lvl>
    <w:lvl w:ilvl="1">
      <w:start w:val="1"/>
      <w:numFmt w:val="lowerLetter"/>
      <w:isLgl w:val="false"/>
      <w:suff w:val="tab"/>
      <w:lvlText w:val="%2)"/>
      <w:lvlJc w:val="left"/>
      <w:pPr>
        <w:pStyle w:val="1131"/>
        <w:ind w:left="1322" w:hanging="420"/>
        <w:tabs>
          <w:tab w:val="num" w:pos="1322" w:leader="none"/>
        </w:tabs>
      </w:pPr>
    </w:lvl>
    <w:lvl w:ilvl="2">
      <w:start w:val="1"/>
      <w:numFmt w:val="lowerRoman"/>
      <w:isLgl w:val="false"/>
      <w:suff w:val="tab"/>
      <w:lvlText w:val="%3."/>
      <w:lvlJc w:val="right"/>
      <w:pPr>
        <w:pStyle w:val="1131"/>
        <w:ind w:left="1742" w:hanging="420"/>
        <w:tabs>
          <w:tab w:val="num" w:pos="1742" w:leader="none"/>
        </w:tabs>
      </w:pPr>
    </w:lvl>
    <w:lvl w:ilvl="3">
      <w:start w:val="1"/>
      <w:numFmt w:val="decimal"/>
      <w:isLgl w:val="false"/>
      <w:suff w:val="tab"/>
      <w:lvlText w:val="%4."/>
      <w:lvlJc w:val="left"/>
      <w:pPr>
        <w:pStyle w:val="1131"/>
        <w:ind w:left="2162" w:hanging="420"/>
        <w:tabs>
          <w:tab w:val="num" w:pos="2162" w:leader="none"/>
        </w:tabs>
      </w:pPr>
    </w:lvl>
    <w:lvl w:ilvl="4">
      <w:start w:val="1"/>
      <w:numFmt w:val="lowerLetter"/>
      <w:isLgl w:val="false"/>
      <w:suff w:val="tab"/>
      <w:lvlText w:val="%5)"/>
      <w:lvlJc w:val="left"/>
      <w:pPr>
        <w:pStyle w:val="1131"/>
        <w:ind w:left="2582" w:hanging="420"/>
        <w:tabs>
          <w:tab w:val="num" w:pos="2582" w:leader="none"/>
        </w:tabs>
      </w:pPr>
    </w:lvl>
    <w:lvl w:ilvl="5">
      <w:start w:val="1"/>
      <w:numFmt w:val="lowerRoman"/>
      <w:isLgl w:val="false"/>
      <w:suff w:val="tab"/>
      <w:lvlText w:val="%6."/>
      <w:lvlJc w:val="right"/>
      <w:pPr>
        <w:pStyle w:val="1131"/>
        <w:ind w:left="3002" w:hanging="420"/>
        <w:tabs>
          <w:tab w:val="num" w:pos="3002" w:leader="none"/>
        </w:tabs>
      </w:pPr>
    </w:lvl>
    <w:lvl w:ilvl="6">
      <w:start w:val="1"/>
      <w:numFmt w:val="decimal"/>
      <w:isLgl w:val="false"/>
      <w:suff w:val="tab"/>
      <w:lvlText w:val="%7."/>
      <w:lvlJc w:val="left"/>
      <w:pPr>
        <w:pStyle w:val="1131"/>
        <w:ind w:left="3422" w:hanging="420"/>
        <w:tabs>
          <w:tab w:val="num" w:pos="3422" w:leader="none"/>
        </w:tabs>
      </w:pPr>
    </w:lvl>
    <w:lvl w:ilvl="7">
      <w:start w:val="1"/>
      <w:numFmt w:val="lowerLetter"/>
      <w:isLgl w:val="false"/>
      <w:suff w:val="tab"/>
      <w:lvlText w:val="%8)"/>
      <w:lvlJc w:val="left"/>
      <w:pPr>
        <w:pStyle w:val="1131"/>
        <w:ind w:left="3842" w:hanging="420"/>
        <w:tabs>
          <w:tab w:val="num" w:pos="3842" w:leader="none"/>
        </w:tabs>
      </w:pPr>
    </w:lvl>
    <w:lvl w:ilvl="8">
      <w:start w:val="1"/>
      <w:numFmt w:val="lowerRoman"/>
      <w:isLgl w:val="false"/>
      <w:suff w:val="tab"/>
      <w:lvlText w:val="%9."/>
      <w:lvlJc w:val="right"/>
      <w:pPr>
        <w:pStyle w:val="1131"/>
        <w:ind w:left="4262" w:hanging="420"/>
        <w:tabs>
          <w:tab w:val="num" w:pos="4262" w:leader="none"/>
        </w:tabs>
      </w:pPr>
    </w:lvl>
  </w:abstractNum>
  <w:abstractNum w:abstractNumId="1">
    <w:multiLevelType w:val="hybridMultilevel"/>
    <w:lvl w:ilvl="0">
      <w:start w:val="1"/>
      <w:numFmt w:val="decimal"/>
      <w:pStyle w:val="1556"/>
      <w:isLgl w:val="false"/>
      <w:suff w:val="tab"/>
      <w:lvlText w:val="%1."/>
      <w:lvlJc w:val="left"/>
      <w:pPr>
        <w:pStyle w:val="1131"/>
        <w:ind w:left="420" w:hanging="420"/>
      </w:pPr>
    </w:lvl>
    <w:lvl w:ilvl="1">
      <w:start w:val="1"/>
      <w:numFmt w:val="lowerLetter"/>
      <w:isLgl w:val="false"/>
      <w:suff w:val="tab"/>
      <w:lvlText w:val="%2)"/>
      <w:lvlJc w:val="left"/>
      <w:pPr>
        <w:pStyle w:val="1131"/>
        <w:ind w:left="840" w:hanging="420"/>
      </w:pPr>
    </w:lvl>
    <w:lvl w:ilvl="2">
      <w:start w:val="1"/>
      <w:numFmt w:val="lowerRoman"/>
      <w:pStyle w:val="1524"/>
      <w:isLgl w:val="false"/>
      <w:suff w:val="tab"/>
      <w:lvlText w:val="%3."/>
      <w:lvlJc w:val="right"/>
      <w:pPr>
        <w:pStyle w:val="1131"/>
        <w:ind w:left="1260" w:hanging="420"/>
      </w:pPr>
    </w:lvl>
    <w:lvl w:ilvl="3">
      <w:start w:val="1"/>
      <w:numFmt w:val="decimal"/>
      <w:isLgl w:val="false"/>
      <w:suff w:val="tab"/>
      <w:lvlText w:val="%4."/>
      <w:lvlJc w:val="left"/>
      <w:pPr>
        <w:pStyle w:val="1131"/>
        <w:ind w:left="1680" w:hanging="420"/>
      </w:pPr>
    </w:lvl>
    <w:lvl w:ilvl="4">
      <w:start w:val="1"/>
      <w:numFmt w:val="lowerLetter"/>
      <w:isLgl w:val="false"/>
      <w:suff w:val="tab"/>
      <w:lvlText w:val="%5)"/>
      <w:lvlJc w:val="left"/>
      <w:pPr>
        <w:pStyle w:val="1131"/>
        <w:ind w:left="2100" w:hanging="420"/>
      </w:pPr>
    </w:lvl>
    <w:lvl w:ilvl="5">
      <w:start w:val="1"/>
      <w:numFmt w:val="lowerRoman"/>
      <w:isLgl w:val="false"/>
      <w:suff w:val="tab"/>
      <w:lvlText w:val="%6."/>
      <w:lvlJc w:val="right"/>
      <w:pPr>
        <w:pStyle w:val="1131"/>
        <w:ind w:left="2520" w:hanging="420"/>
      </w:pPr>
    </w:lvl>
    <w:lvl w:ilvl="6">
      <w:start w:val="1"/>
      <w:numFmt w:val="decimal"/>
      <w:isLgl w:val="false"/>
      <w:suff w:val="tab"/>
      <w:lvlText w:val="%7."/>
      <w:lvlJc w:val="left"/>
      <w:pPr>
        <w:pStyle w:val="1131"/>
        <w:ind w:left="2940" w:hanging="420"/>
      </w:pPr>
    </w:lvl>
    <w:lvl w:ilvl="7">
      <w:start w:val="1"/>
      <w:numFmt w:val="lowerLetter"/>
      <w:isLgl w:val="false"/>
      <w:suff w:val="tab"/>
      <w:lvlText w:val="%8)"/>
      <w:lvlJc w:val="left"/>
      <w:pPr>
        <w:pStyle w:val="1131"/>
        <w:ind w:left="3360" w:hanging="420"/>
      </w:pPr>
    </w:lvl>
    <w:lvl w:ilvl="8">
      <w:start w:val="1"/>
      <w:numFmt w:val="lowerRoman"/>
      <w:isLgl w:val="false"/>
      <w:suff w:val="tab"/>
      <w:lvlText w:val="%9."/>
      <w:lvlJc w:val="right"/>
      <w:pPr>
        <w:pStyle w:val="1131"/>
        <w:ind w:left="3780" w:hanging="420"/>
      </w:pPr>
    </w:lvl>
  </w:abstractNum>
  <w:abstractNum w:abstractNumId="2">
    <w:multiLevelType w:val="hybridMultilevel"/>
    <w:lvl w:ilvl="0">
      <w:start w:val="1"/>
      <w:numFmt w:val="decimal"/>
      <w:pStyle w:val="1358"/>
      <w:isLgl w:val="false"/>
      <w:suff w:val="tab"/>
      <w:lvlText w:val="%1."/>
      <w:lvlJc w:val="left"/>
      <w:pPr>
        <w:pStyle w:val="1131"/>
        <w:ind w:left="780" w:hanging="360"/>
        <w:tabs>
          <w:tab w:val="num" w:pos="780" w:leader="none"/>
        </w:tabs>
      </w:pPr>
    </w:lvl>
    <w:lvl w:ilvl="1">
      <w:start w:val="1"/>
      <w:numFmt w:val="bullet"/>
      <w:isLgl w:val="false"/>
      <w:suff w:val="tab"/>
      <w:lvlText w:val="o"/>
      <w:lvlJc w:val="left"/>
      <w:pPr>
        <w:pStyle w:val="1131"/>
        <w:ind w:left="1440" w:hanging="360"/>
      </w:pPr>
      <w:rPr>
        <w:rFonts w:ascii="Courier New" w:hAnsi="Courier New" w:eastAsia="Courier New" w:cs="Courier New"/>
      </w:rPr>
    </w:lvl>
    <w:lvl w:ilvl="2">
      <w:start w:val="1"/>
      <w:numFmt w:val="bullet"/>
      <w:isLgl w:val="false"/>
      <w:suff w:val="tab"/>
      <w:lvlText w:val="§"/>
      <w:lvlJc w:val="left"/>
      <w:pPr>
        <w:pStyle w:val="1131"/>
        <w:ind w:left="2160" w:hanging="360"/>
      </w:pPr>
      <w:rPr>
        <w:rFonts w:ascii="Wingdings" w:hAnsi="Wingdings" w:eastAsia="Wingdings" w:cs="Wingdings"/>
      </w:rPr>
    </w:lvl>
    <w:lvl w:ilvl="3">
      <w:start w:val="1"/>
      <w:numFmt w:val="bullet"/>
      <w:isLgl w:val="false"/>
      <w:suff w:val="tab"/>
      <w:lvlText w:val="·"/>
      <w:lvlJc w:val="left"/>
      <w:pPr>
        <w:pStyle w:val="1131"/>
        <w:ind w:left="2880" w:hanging="360"/>
      </w:pPr>
      <w:rPr>
        <w:rFonts w:ascii="Symbol" w:hAnsi="Symbol" w:eastAsia="Symbol" w:cs="Symbol"/>
      </w:rPr>
    </w:lvl>
    <w:lvl w:ilvl="4">
      <w:start w:val="1"/>
      <w:numFmt w:val="bullet"/>
      <w:isLgl w:val="false"/>
      <w:suff w:val="tab"/>
      <w:lvlText w:val="o"/>
      <w:lvlJc w:val="left"/>
      <w:pPr>
        <w:pStyle w:val="1131"/>
        <w:ind w:left="3600" w:hanging="360"/>
      </w:pPr>
      <w:rPr>
        <w:rFonts w:ascii="Courier New" w:hAnsi="Courier New" w:eastAsia="Courier New" w:cs="Courier New"/>
      </w:rPr>
    </w:lvl>
    <w:lvl w:ilvl="5">
      <w:start w:val="1"/>
      <w:numFmt w:val="bullet"/>
      <w:isLgl w:val="false"/>
      <w:suff w:val="tab"/>
      <w:lvlText w:val="§"/>
      <w:lvlJc w:val="left"/>
      <w:pPr>
        <w:pStyle w:val="1131"/>
        <w:ind w:left="4320" w:hanging="360"/>
      </w:pPr>
      <w:rPr>
        <w:rFonts w:ascii="Wingdings" w:hAnsi="Wingdings" w:eastAsia="Wingdings" w:cs="Wingdings"/>
      </w:rPr>
    </w:lvl>
    <w:lvl w:ilvl="6">
      <w:start w:val="1"/>
      <w:numFmt w:val="bullet"/>
      <w:isLgl w:val="false"/>
      <w:suff w:val="tab"/>
      <w:lvlText w:val="·"/>
      <w:lvlJc w:val="left"/>
      <w:pPr>
        <w:pStyle w:val="1131"/>
        <w:ind w:left="5040" w:hanging="360"/>
      </w:pPr>
      <w:rPr>
        <w:rFonts w:ascii="Symbol" w:hAnsi="Symbol" w:eastAsia="Symbol" w:cs="Symbol"/>
      </w:rPr>
    </w:lvl>
    <w:lvl w:ilvl="7">
      <w:start w:val="1"/>
      <w:numFmt w:val="bullet"/>
      <w:isLgl w:val="false"/>
      <w:suff w:val="tab"/>
      <w:lvlText w:val="o"/>
      <w:lvlJc w:val="left"/>
      <w:pPr>
        <w:pStyle w:val="1131"/>
        <w:ind w:left="5760" w:hanging="360"/>
      </w:pPr>
      <w:rPr>
        <w:rFonts w:ascii="Courier New" w:hAnsi="Courier New" w:eastAsia="Courier New" w:cs="Courier New"/>
      </w:rPr>
    </w:lvl>
    <w:lvl w:ilvl="8">
      <w:start w:val="1"/>
      <w:numFmt w:val="bullet"/>
      <w:isLgl w:val="false"/>
      <w:suff w:val="tab"/>
      <w:lvlText w:val="§"/>
      <w:lvlJc w:val="left"/>
      <w:pPr>
        <w:pStyle w:val="1131"/>
        <w:ind w:left="6480" w:hanging="360"/>
      </w:pPr>
      <w:rPr>
        <w:rFonts w:ascii="Wingdings" w:hAnsi="Wingdings" w:eastAsia="Wingdings" w:cs="Wingdings"/>
      </w:rPr>
    </w:lvl>
  </w:abstractNum>
  <w:abstractNum w:abstractNumId="3">
    <w:multiLevelType w:val="hybridMultilevel"/>
    <w:lvl w:ilvl="0">
      <w:start w:val="1"/>
      <w:numFmt w:val="decimal"/>
      <w:pStyle w:val="1419"/>
      <w:isLgl w:val="false"/>
      <w:suff w:val="tab"/>
      <w:lvlText w:val="%1."/>
      <w:lvlJc w:val="left"/>
      <w:pPr>
        <w:pStyle w:val="1131"/>
        <w:ind w:left="1200" w:hanging="360"/>
        <w:tabs>
          <w:tab w:val="num" w:pos="1200" w:leader="none"/>
        </w:tabs>
      </w:pPr>
    </w:lvl>
    <w:lvl w:ilvl="1">
      <w:start w:val="1"/>
      <w:numFmt w:val="bullet"/>
      <w:isLgl w:val="false"/>
      <w:suff w:val="tab"/>
      <w:lvlText w:val="o"/>
      <w:lvlJc w:val="left"/>
      <w:pPr>
        <w:pStyle w:val="1131"/>
        <w:ind w:left="1440" w:hanging="360"/>
      </w:pPr>
      <w:rPr>
        <w:rFonts w:ascii="Courier New" w:hAnsi="Courier New" w:eastAsia="Courier New" w:cs="Courier New"/>
      </w:rPr>
    </w:lvl>
    <w:lvl w:ilvl="2">
      <w:start w:val="1"/>
      <w:numFmt w:val="bullet"/>
      <w:isLgl w:val="false"/>
      <w:suff w:val="tab"/>
      <w:lvlText w:val="§"/>
      <w:lvlJc w:val="left"/>
      <w:pPr>
        <w:pStyle w:val="1131"/>
        <w:ind w:left="2160" w:hanging="360"/>
      </w:pPr>
      <w:rPr>
        <w:rFonts w:ascii="Wingdings" w:hAnsi="Wingdings" w:eastAsia="Wingdings" w:cs="Wingdings"/>
      </w:rPr>
    </w:lvl>
    <w:lvl w:ilvl="3">
      <w:start w:val="1"/>
      <w:numFmt w:val="bullet"/>
      <w:isLgl w:val="false"/>
      <w:suff w:val="tab"/>
      <w:lvlText w:val="·"/>
      <w:lvlJc w:val="left"/>
      <w:pPr>
        <w:pStyle w:val="1131"/>
        <w:ind w:left="2880" w:hanging="360"/>
      </w:pPr>
      <w:rPr>
        <w:rFonts w:ascii="Symbol" w:hAnsi="Symbol" w:eastAsia="Symbol" w:cs="Symbol"/>
      </w:rPr>
    </w:lvl>
    <w:lvl w:ilvl="4">
      <w:start w:val="1"/>
      <w:numFmt w:val="bullet"/>
      <w:isLgl w:val="false"/>
      <w:suff w:val="tab"/>
      <w:lvlText w:val="o"/>
      <w:lvlJc w:val="left"/>
      <w:pPr>
        <w:pStyle w:val="1131"/>
        <w:ind w:left="3600" w:hanging="360"/>
      </w:pPr>
      <w:rPr>
        <w:rFonts w:ascii="Courier New" w:hAnsi="Courier New" w:eastAsia="Courier New" w:cs="Courier New"/>
      </w:rPr>
    </w:lvl>
    <w:lvl w:ilvl="5">
      <w:start w:val="1"/>
      <w:numFmt w:val="bullet"/>
      <w:isLgl w:val="false"/>
      <w:suff w:val="tab"/>
      <w:lvlText w:val="§"/>
      <w:lvlJc w:val="left"/>
      <w:pPr>
        <w:pStyle w:val="1131"/>
        <w:ind w:left="4320" w:hanging="360"/>
      </w:pPr>
      <w:rPr>
        <w:rFonts w:ascii="Wingdings" w:hAnsi="Wingdings" w:eastAsia="Wingdings" w:cs="Wingdings"/>
      </w:rPr>
    </w:lvl>
    <w:lvl w:ilvl="6">
      <w:start w:val="1"/>
      <w:numFmt w:val="bullet"/>
      <w:isLgl w:val="false"/>
      <w:suff w:val="tab"/>
      <w:lvlText w:val="·"/>
      <w:lvlJc w:val="left"/>
      <w:pPr>
        <w:pStyle w:val="1131"/>
        <w:ind w:left="5040" w:hanging="360"/>
      </w:pPr>
      <w:rPr>
        <w:rFonts w:ascii="Symbol" w:hAnsi="Symbol" w:eastAsia="Symbol" w:cs="Symbol"/>
      </w:rPr>
    </w:lvl>
    <w:lvl w:ilvl="7">
      <w:start w:val="1"/>
      <w:numFmt w:val="bullet"/>
      <w:isLgl w:val="false"/>
      <w:suff w:val="tab"/>
      <w:lvlText w:val="o"/>
      <w:lvlJc w:val="left"/>
      <w:pPr>
        <w:pStyle w:val="1131"/>
        <w:ind w:left="5760" w:hanging="360"/>
      </w:pPr>
      <w:rPr>
        <w:rFonts w:ascii="Courier New" w:hAnsi="Courier New" w:eastAsia="Courier New" w:cs="Courier New"/>
      </w:rPr>
    </w:lvl>
    <w:lvl w:ilvl="8">
      <w:start w:val="1"/>
      <w:numFmt w:val="bullet"/>
      <w:isLgl w:val="false"/>
      <w:suff w:val="tab"/>
      <w:lvlText w:val="§"/>
      <w:lvlJc w:val="left"/>
      <w:pPr>
        <w:pStyle w:val="1131"/>
        <w:ind w:left="6480" w:hanging="360"/>
      </w:pPr>
      <w:rPr>
        <w:rFonts w:ascii="Wingdings" w:hAnsi="Wingdings" w:eastAsia="Wingdings" w:cs="Wingdings"/>
      </w:rPr>
    </w:lvl>
  </w:abstractNum>
  <w:abstractNum w:abstractNumId="4">
    <w:multiLevelType w:val="hybridMultilevel"/>
    <w:lvl w:ilvl="0">
      <w:start w:val="1"/>
      <w:numFmt w:val="decimal"/>
      <w:pStyle w:val="1506"/>
      <w:isLgl w:val="false"/>
      <w:suff w:val="nothing"/>
      <w:lvlText w:val="%1"/>
      <w:lvlJc w:val="left"/>
      <w:pPr>
        <w:pStyle w:val="1131"/>
        <w:ind w:left="0" w:firstLine="0"/>
      </w:pPr>
      <w:rPr>
        <w:rFonts w:ascii="Times New Roman" w:hAnsi="Times New Roman"/>
        <w:b/>
        <w:i w:val="0"/>
        <w:sz w:val="21"/>
      </w:rPr>
    </w:lvl>
    <w:lvl w:ilvl="1">
      <w:start w:val="1"/>
      <w:numFmt w:val="decimal"/>
      <w:pStyle w:val="1652"/>
      <w:isLgl w:val="false"/>
      <w:suff w:val="nothing"/>
      <w:lvlText w:val="%1%2　"/>
      <w:lvlJc w:val="left"/>
      <w:pPr>
        <w:pStyle w:val="1131"/>
        <w:ind w:left="426" w:firstLine="0"/>
      </w:pPr>
      <w:rPr>
        <w:rFonts w:hint="eastAsia" w:ascii="黑体" w:hAnsi="Times New Roman" w:eastAsia="黑体"/>
        <w:b w:val="0"/>
        <w:i w:val="0"/>
        <w:sz w:val="21"/>
      </w:rPr>
    </w:lvl>
    <w:lvl w:ilvl="2">
      <w:start w:val="1"/>
      <w:numFmt w:val="decimal"/>
      <w:isLgl w:val="false"/>
      <w:suff w:val="nothing"/>
      <w:lvlText w:val="%1%2.%3　"/>
      <w:lvlJc w:val="left"/>
      <w:pPr>
        <w:pStyle w:val="1131"/>
        <w:ind w:left="0" w:firstLine="0"/>
      </w:pPr>
      <w:rPr>
        <w:rFonts w:hint="eastAsia" w:ascii="黑体" w:hAnsi="Times New Roman" w:eastAsia="黑体"/>
        <w:b w:val="0"/>
        <w:i w:val="0"/>
        <w:sz w:val="21"/>
      </w:rPr>
    </w:lvl>
    <w:lvl w:ilvl="3">
      <w:start w:val="1"/>
      <w:numFmt w:val="decimal"/>
      <w:isLgl w:val="false"/>
      <w:suff w:val="nothing"/>
      <w:lvlText w:val="%1%2.%3.%4　"/>
      <w:lvlJc w:val="left"/>
      <w:pPr>
        <w:pStyle w:val="1131"/>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1131"/>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1131"/>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1131"/>
        <w:ind w:left="0" w:firstLine="0"/>
      </w:pPr>
      <w:rPr>
        <w:rFonts w:hint="eastAsia" w:ascii="黑体" w:hAnsi="Times New Roman" w:eastAsia="黑体"/>
        <w:b w:val="0"/>
        <w:i w:val="0"/>
        <w:sz w:val="21"/>
      </w:rPr>
    </w:lvl>
    <w:lvl w:ilvl="7">
      <w:start w:val="1"/>
      <w:numFmt w:val="decimal"/>
      <w:isLgl w:val="false"/>
      <w:suff w:val="tab"/>
      <w:lvlText w:val="%1.%2.%3.%4.%5.%6.%7.%8"/>
      <w:lvlJc w:val="left"/>
      <w:pPr>
        <w:pStyle w:val="1131"/>
        <w:ind w:left="3969" w:hanging="1418"/>
        <w:tabs>
          <w:tab w:val="num" w:pos="4351" w:leader="none"/>
        </w:tabs>
      </w:pPr>
      <w:rPr>
        <w:rFonts w:hint="eastAsia"/>
      </w:rPr>
    </w:lvl>
    <w:lvl w:ilvl="8">
      <w:start w:val="1"/>
      <w:numFmt w:val="decimal"/>
      <w:isLgl w:val="false"/>
      <w:suff w:val="tab"/>
      <w:lvlText w:val="%1.%2.%3.%4.%5.%6.%7.%8.%9"/>
      <w:lvlJc w:val="left"/>
      <w:pPr>
        <w:pStyle w:val="1131"/>
        <w:ind w:left="4677" w:hanging="1700"/>
        <w:tabs>
          <w:tab w:val="num" w:pos="4777" w:leader="none"/>
        </w:tabs>
      </w:pPr>
      <w:rPr>
        <w:rFonts w:hint="eastAsia"/>
      </w:rPr>
    </w:lvl>
  </w:abstractNum>
  <w:abstractNum w:abstractNumId="5">
    <w:multiLevelType w:val="hybridMultilevel"/>
    <w:lvl w:ilvl="0">
      <w:start w:val="1"/>
      <w:numFmt w:val="decimal"/>
      <w:isLgl w:val="false"/>
      <w:suff w:val="tab"/>
      <w:lvlText w:val="%1"/>
      <w:lvlJc w:val="left"/>
      <w:pPr>
        <w:pStyle w:val="1131"/>
        <w:ind w:left="432" w:hanging="432"/>
        <w:tabs>
          <w:tab w:val="num" w:pos="432" w:leader="none"/>
        </w:tabs>
      </w:pPr>
    </w:lvl>
    <w:lvl w:ilvl="1">
      <w:start w:val="1"/>
      <w:numFmt w:val="decimal"/>
      <w:isLgl w:val="false"/>
      <w:suff w:val="tab"/>
      <w:lvlText w:val="%1.%2"/>
      <w:lvlJc w:val="left"/>
      <w:pPr>
        <w:pStyle w:val="1131"/>
        <w:ind w:left="576" w:hanging="576"/>
        <w:tabs>
          <w:tab w:val="num" w:pos="576" w:leader="none"/>
        </w:tabs>
      </w:pPr>
    </w:lvl>
    <w:lvl w:ilvl="2">
      <w:start w:val="1"/>
      <w:numFmt w:val="decimal"/>
      <w:isLgl w:val="false"/>
      <w:suff w:val="tab"/>
      <w:lvlText w:val="%1.%2.%3"/>
      <w:lvlJc w:val="left"/>
      <w:pPr>
        <w:pStyle w:val="1131"/>
        <w:ind w:left="720" w:hanging="720"/>
        <w:tabs>
          <w:tab w:val="num" w:pos="720" w:leader="none"/>
        </w:tabs>
      </w:pPr>
    </w:lvl>
    <w:lvl w:ilvl="3">
      <w:start w:val="1"/>
      <w:numFmt w:val="decimal"/>
      <w:isLgl w:val="false"/>
      <w:suff w:val="tab"/>
      <w:lvlText w:val="%1.%2.%3.%4"/>
      <w:lvlJc w:val="left"/>
      <w:pPr>
        <w:pStyle w:val="1131"/>
        <w:ind w:left="864" w:hanging="864"/>
        <w:tabs>
          <w:tab w:val="num" w:pos="864" w:leader="none"/>
        </w:tabs>
      </w:pPr>
    </w:lvl>
    <w:lvl w:ilvl="4">
      <w:start w:val="1"/>
      <w:numFmt w:val="decimal"/>
      <w:pStyle w:val="1342"/>
      <w:isLgl w:val="false"/>
      <w:suff w:val="tab"/>
      <w:lvlText w:val="%1.%2.%3.%4.%5"/>
      <w:lvlJc w:val="left"/>
      <w:pPr>
        <w:pStyle w:val="1131"/>
        <w:ind w:left="1008" w:hanging="1008"/>
        <w:tabs>
          <w:tab w:val="num" w:pos="1008" w:leader="none"/>
        </w:tabs>
      </w:pPr>
    </w:lvl>
    <w:lvl w:ilvl="5">
      <w:start w:val="1"/>
      <w:numFmt w:val="decimal"/>
      <w:pStyle w:val="1344"/>
      <w:isLgl w:val="false"/>
      <w:suff w:val="tab"/>
      <w:lvlText w:val="%1.%2.%3.%4.%5.%6"/>
      <w:lvlJc w:val="left"/>
      <w:pPr>
        <w:pStyle w:val="1131"/>
        <w:ind w:left="1152" w:hanging="1152"/>
        <w:tabs>
          <w:tab w:val="num" w:pos="1152" w:leader="none"/>
        </w:tabs>
      </w:pPr>
    </w:lvl>
    <w:lvl w:ilvl="6">
      <w:start w:val="1"/>
      <w:numFmt w:val="decimal"/>
      <w:pStyle w:val="1346"/>
      <w:isLgl w:val="false"/>
      <w:suff w:val="tab"/>
      <w:lvlText w:val="%1.%2.%3.%4.%5.%6.%7"/>
      <w:lvlJc w:val="left"/>
      <w:pPr>
        <w:pStyle w:val="1131"/>
        <w:ind w:left="1296" w:hanging="1296"/>
        <w:tabs>
          <w:tab w:val="num" w:pos="1296" w:leader="none"/>
        </w:tabs>
      </w:pPr>
    </w:lvl>
    <w:lvl w:ilvl="7">
      <w:start w:val="1"/>
      <w:numFmt w:val="decimal"/>
      <w:pStyle w:val="1348"/>
      <w:isLgl w:val="false"/>
      <w:suff w:val="tab"/>
      <w:lvlText w:val="%1.%2.%3.%4.%5.%6.%7.%8"/>
      <w:lvlJc w:val="left"/>
      <w:pPr>
        <w:pStyle w:val="1131"/>
        <w:ind w:left="1440" w:hanging="1440"/>
        <w:tabs>
          <w:tab w:val="num" w:pos="1440" w:leader="none"/>
        </w:tabs>
      </w:pPr>
    </w:lvl>
    <w:lvl w:ilvl="8">
      <w:start w:val="1"/>
      <w:numFmt w:val="decimal"/>
      <w:pStyle w:val="1350"/>
      <w:isLgl w:val="false"/>
      <w:suff w:val="tab"/>
      <w:lvlText w:val="%1.%2.%3.%4.%5.%6.%7.%8.%9"/>
      <w:lvlJc w:val="left"/>
      <w:pPr>
        <w:pStyle w:val="1131"/>
        <w:ind w:left="1584" w:hanging="1584"/>
        <w:tabs>
          <w:tab w:val="num" w:pos="1584" w:leader="none"/>
        </w:tabs>
      </w:pPr>
    </w:lvl>
  </w:abstractNum>
  <w:abstractNum w:abstractNumId="6">
    <w:multiLevelType w:val="hybridMultilevel"/>
    <w:lvl w:ilvl="0">
      <w:start w:val="1"/>
      <w:numFmt w:val="decimal"/>
      <w:pStyle w:val="1386"/>
      <w:isLgl w:val="false"/>
      <w:suff w:val="tab"/>
      <w:lvlText w:val="%1."/>
      <w:lvlJc w:val="left"/>
      <w:pPr>
        <w:pStyle w:val="1131"/>
        <w:ind w:left="1620" w:hanging="360"/>
        <w:tabs>
          <w:tab w:val="num" w:pos="1620" w:leader="none"/>
        </w:tabs>
      </w:pPr>
    </w:lvl>
    <w:lvl w:ilvl="1">
      <w:start w:val="1"/>
      <w:numFmt w:val="bullet"/>
      <w:isLgl w:val="false"/>
      <w:suff w:val="tab"/>
      <w:lvlText w:val="o"/>
      <w:lvlJc w:val="left"/>
      <w:pPr>
        <w:pStyle w:val="1131"/>
        <w:ind w:left="1440" w:hanging="360"/>
      </w:pPr>
      <w:rPr>
        <w:rFonts w:ascii="Courier New" w:hAnsi="Courier New" w:eastAsia="Courier New" w:cs="Courier New"/>
      </w:rPr>
    </w:lvl>
    <w:lvl w:ilvl="2">
      <w:start w:val="1"/>
      <w:numFmt w:val="bullet"/>
      <w:isLgl w:val="false"/>
      <w:suff w:val="tab"/>
      <w:lvlText w:val="§"/>
      <w:lvlJc w:val="left"/>
      <w:pPr>
        <w:pStyle w:val="1131"/>
        <w:ind w:left="2160" w:hanging="360"/>
      </w:pPr>
      <w:rPr>
        <w:rFonts w:ascii="Wingdings" w:hAnsi="Wingdings" w:eastAsia="Wingdings" w:cs="Wingdings"/>
      </w:rPr>
    </w:lvl>
    <w:lvl w:ilvl="3">
      <w:start w:val="1"/>
      <w:numFmt w:val="bullet"/>
      <w:isLgl w:val="false"/>
      <w:suff w:val="tab"/>
      <w:lvlText w:val="·"/>
      <w:lvlJc w:val="left"/>
      <w:pPr>
        <w:pStyle w:val="1131"/>
        <w:ind w:left="2880" w:hanging="360"/>
      </w:pPr>
      <w:rPr>
        <w:rFonts w:ascii="Symbol" w:hAnsi="Symbol" w:eastAsia="Symbol" w:cs="Symbol"/>
      </w:rPr>
    </w:lvl>
    <w:lvl w:ilvl="4">
      <w:start w:val="1"/>
      <w:numFmt w:val="bullet"/>
      <w:isLgl w:val="false"/>
      <w:suff w:val="tab"/>
      <w:lvlText w:val="o"/>
      <w:lvlJc w:val="left"/>
      <w:pPr>
        <w:pStyle w:val="1131"/>
        <w:ind w:left="3600" w:hanging="360"/>
      </w:pPr>
      <w:rPr>
        <w:rFonts w:ascii="Courier New" w:hAnsi="Courier New" w:eastAsia="Courier New" w:cs="Courier New"/>
      </w:rPr>
    </w:lvl>
    <w:lvl w:ilvl="5">
      <w:start w:val="1"/>
      <w:numFmt w:val="bullet"/>
      <w:isLgl w:val="false"/>
      <w:suff w:val="tab"/>
      <w:lvlText w:val="§"/>
      <w:lvlJc w:val="left"/>
      <w:pPr>
        <w:pStyle w:val="1131"/>
        <w:ind w:left="4320" w:hanging="360"/>
      </w:pPr>
      <w:rPr>
        <w:rFonts w:ascii="Wingdings" w:hAnsi="Wingdings" w:eastAsia="Wingdings" w:cs="Wingdings"/>
      </w:rPr>
    </w:lvl>
    <w:lvl w:ilvl="6">
      <w:start w:val="1"/>
      <w:numFmt w:val="bullet"/>
      <w:isLgl w:val="false"/>
      <w:suff w:val="tab"/>
      <w:lvlText w:val="·"/>
      <w:lvlJc w:val="left"/>
      <w:pPr>
        <w:pStyle w:val="1131"/>
        <w:ind w:left="5040" w:hanging="360"/>
      </w:pPr>
      <w:rPr>
        <w:rFonts w:ascii="Symbol" w:hAnsi="Symbol" w:eastAsia="Symbol" w:cs="Symbol"/>
      </w:rPr>
    </w:lvl>
    <w:lvl w:ilvl="7">
      <w:start w:val="1"/>
      <w:numFmt w:val="bullet"/>
      <w:isLgl w:val="false"/>
      <w:suff w:val="tab"/>
      <w:lvlText w:val="o"/>
      <w:lvlJc w:val="left"/>
      <w:pPr>
        <w:pStyle w:val="1131"/>
        <w:ind w:left="5760" w:hanging="360"/>
      </w:pPr>
      <w:rPr>
        <w:rFonts w:ascii="Courier New" w:hAnsi="Courier New" w:eastAsia="Courier New" w:cs="Courier New"/>
      </w:rPr>
    </w:lvl>
    <w:lvl w:ilvl="8">
      <w:start w:val="1"/>
      <w:numFmt w:val="bullet"/>
      <w:isLgl w:val="false"/>
      <w:suff w:val="tab"/>
      <w:lvlText w:val="§"/>
      <w:lvlJc w:val="left"/>
      <w:pPr>
        <w:pStyle w:val="1131"/>
        <w:ind w:left="6480" w:hanging="360"/>
      </w:pPr>
      <w:rPr>
        <w:rFonts w:ascii="Wingdings" w:hAnsi="Wingdings" w:eastAsia="Wingdings" w:cs="Wingdings"/>
      </w:rPr>
    </w:lvl>
  </w:abstractNum>
  <w:abstractNum w:abstractNumId="7">
    <w:multiLevelType w:val="hybridMultilevel"/>
    <w:lvl w:ilvl="0">
      <w:start w:val="1"/>
      <w:numFmt w:val="decimal"/>
      <w:pStyle w:val="1542"/>
      <w:isLgl w:val="false"/>
      <w:suff w:val="tab"/>
      <w:lvlText w:val="(%1)"/>
      <w:lvlJc w:val="left"/>
      <w:pPr>
        <w:pStyle w:val="1131"/>
        <w:ind w:left="840" w:hanging="420"/>
      </w:pPr>
    </w:lvl>
    <w:lvl w:ilvl="1">
      <w:start w:val="1"/>
      <w:numFmt w:val="lowerLetter"/>
      <w:isLgl w:val="false"/>
      <w:suff w:val="tab"/>
      <w:lvlText w:val="%2)"/>
      <w:lvlJc w:val="left"/>
      <w:pPr>
        <w:pStyle w:val="1131"/>
        <w:ind w:left="1260" w:hanging="420"/>
      </w:pPr>
    </w:lvl>
    <w:lvl w:ilvl="2">
      <w:start w:val="1"/>
      <w:numFmt w:val="lowerRoman"/>
      <w:isLgl w:val="false"/>
      <w:suff w:val="tab"/>
      <w:lvlText w:val="%3."/>
      <w:lvlJc w:val="right"/>
      <w:pPr>
        <w:pStyle w:val="1131"/>
        <w:ind w:left="1680" w:hanging="420"/>
      </w:pPr>
    </w:lvl>
    <w:lvl w:ilvl="3">
      <w:start w:val="1"/>
      <w:numFmt w:val="decimal"/>
      <w:isLgl w:val="false"/>
      <w:suff w:val="tab"/>
      <w:lvlText w:val="%4."/>
      <w:lvlJc w:val="left"/>
      <w:pPr>
        <w:pStyle w:val="1131"/>
        <w:ind w:left="2100" w:hanging="420"/>
      </w:pPr>
    </w:lvl>
    <w:lvl w:ilvl="4">
      <w:start w:val="1"/>
      <w:numFmt w:val="lowerLetter"/>
      <w:isLgl w:val="false"/>
      <w:suff w:val="tab"/>
      <w:lvlText w:val="%5)"/>
      <w:lvlJc w:val="left"/>
      <w:pPr>
        <w:pStyle w:val="1131"/>
        <w:ind w:left="2520" w:hanging="420"/>
      </w:pPr>
    </w:lvl>
    <w:lvl w:ilvl="5">
      <w:start w:val="1"/>
      <w:numFmt w:val="lowerRoman"/>
      <w:isLgl w:val="false"/>
      <w:suff w:val="tab"/>
      <w:lvlText w:val="%6."/>
      <w:lvlJc w:val="right"/>
      <w:pPr>
        <w:pStyle w:val="1131"/>
        <w:ind w:left="2940" w:hanging="420"/>
      </w:pPr>
    </w:lvl>
    <w:lvl w:ilvl="6">
      <w:start w:val="1"/>
      <w:numFmt w:val="decimal"/>
      <w:isLgl w:val="false"/>
      <w:suff w:val="tab"/>
      <w:lvlText w:val="%7."/>
      <w:lvlJc w:val="left"/>
      <w:pPr>
        <w:pStyle w:val="1131"/>
        <w:ind w:left="3360" w:hanging="420"/>
      </w:pPr>
    </w:lvl>
    <w:lvl w:ilvl="7">
      <w:start w:val="1"/>
      <w:numFmt w:val="lowerLetter"/>
      <w:isLgl w:val="false"/>
      <w:suff w:val="tab"/>
      <w:lvlText w:val="%8)"/>
      <w:lvlJc w:val="left"/>
      <w:pPr>
        <w:pStyle w:val="1131"/>
        <w:ind w:left="3780" w:hanging="420"/>
      </w:pPr>
    </w:lvl>
    <w:lvl w:ilvl="8">
      <w:start w:val="1"/>
      <w:numFmt w:val="lowerRoman"/>
      <w:isLgl w:val="false"/>
      <w:suff w:val="tab"/>
      <w:lvlText w:val="%9."/>
      <w:lvlJc w:val="right"/>
      <w:pPr>
        <w:pStyle w:val="1131"/>
        <w:ind w:left="4200" w:hanging="420"/>
      </w:pPr>
    </w:lvl>
  </w:abstractNum>
  <w:abstractNum w:abstractNumId="8">
    <w:multiLevelType w:val="hybridMultilevel"/>
    <w:lvl w:ilvl="0">
      <w:start w:val="1"/>
      <w:numFmt w:val="bullet"/>
      <w:pStyle w:val="1412"/>
      <w:isLgl w:val="false"/>
      <w:suff w:val="tab"/>
      <w:lvlText w:val=""/>
      <w:lvlJc w:val="left"/>
      <w:pPr>
        <w:pStyle w:val="1131"/>
        <w:ind w:left="1620" w:hanging="360"/>
        <w:tabs>
          <w:tab w:val="num" w:pos="1620" w:leader="none"/>
        </w:tabs>
      </w:pPr>
      <w:rPr>
        <w:rFonts w:ascii="Wingdings" w:hAnsi="Wingdings"/>
      </w:rPr>
    </w:lvl>
    <w:lvl w:ilvl="1">
      <w:start w:val="1"/>
      <w:numFmt w:val="bullet"/>
      <w:isLgl w:val="false"/>
      <w:suff w:val="tab"/>
      <w:lvlText w:val="o"/>
      <w:lvlJc w:val="left"/>
      <w:pPr>
        <w:pStyle w:val="1131"/>
        <w:ind w:left="1440" w:hanging="360"/>
      </w:pPr>
      <w:rPr>
        <w:rFonts w:ascii="Courier New" w:hAnsi="Courier New" w:eastAsia="Courier New" w:cs="Courier New"/>
      </w:rPr>
    </w:lvl>
    <w:lvl w:ilvl="2">
      <w:start w:val="1"/>
      <w:numFmt w:val="bullet"/>
      <w:isLgl w:val="false"/>
      <w:suff w:val="tab"/>
      <w:lvlText w:val="§"/>
      <w:lvlJc w:val="left"/>
      <w:pPr>
        <w:pStyle w:val="1131"/>
        <w:ind w:left="2160" w:hanging="360"/>
      </w:pPr>
      <w:rPr>
        <w:rFonts w:ascii="Wingdings" w:hAnsi="Wingdings" w:eastAsia="Wingdings" w:cs="Wingdings"/>
      </w:rPr>
    </w:lvl>
    <w:lvl w:ilvl="3">
      <w:start w:val="1"/>
      <w:numFmt w:val="bullet"/>
      <w:isLgl w:val="false"/>
      <w:suff w:val="tab"/>
      <w:lvlText w:val="·"/>
      <w:lvlJc w:val="left"/>
      <w:pPr>
        <w:pStyle w:val="1131"/>
        <w:ind w:left="2880" w:hanging="360"/>
      </w:pPr>
      <w:rPr>
        <w:rFonts w:ascii="Symbol" w:hAnsi="Symbol" w:eastAsia="Symbol" w:cs="Symbol"/>
      </w:rPr>
    </w:lvl>
    <w:lvl w:ilvl="4">
      <w:start w:val="1"/>
      <w:numFmt w:val="bullet"/>
      <w:isLgl w:val="false"/>
      <w:suff w:val="tab"/>
      <w:lvlText w:val="o"/>
      <w:lvlJc w:val="left"/>
      <w:pPr>
        <w:pStyle w:val="1131"/>
        <w:ind w:left="3600" w:hanging="360"/>
      </w:pPr>
      <w:rPr>
        <w:rFonts w:ascii="Courier New" w:hAnsi="Courier New" w:eastAsia="Courier New" w:cs="Courier New"/>
      </w:rPr>
    </w:lvl>
    <w:lvl w:ilvl="5">
      <w:start w:val="1"/>
      <w:numFmt w:val="bullet"/>
      <w:isLgl w:val="false"/>
      <w:suff w:val="tab"/>
      <w:lvlText w:val="§"/>
      <w:lvlJc w:val="left"/>
      <w:pPr>
        <w:pStyle w:val="1131"/>
        <w:ind w:left="4320" w:hanging="360"/>
      </w:pPr>
      <w:rPr>
        <w:rFonts w:ascii="Wingdings" w:hAnsi="Wingdings" w:eastAsia="Wingdings" w:cs="Wingdings"/>
      </w:rPr>
    </w:lvl>
    <w:lvl w:ilvl="6">
      <w:start w:val="1"/>
      <w:numFmt w:val="bullet"/>
      <w:isLgl w:val="false"/>
      <w:suff w:val="tab"/>
      <w:lvlText w:val="·"/>
      <w:lvlJc w:val="left"/>
      <w:pPr>
        <w:pStyle w:val="1131"/>
        <w:ind w:left="5040" w:hanging="360"/>
      </w:pPr>
      <w:rPr>
        <w:rFonts w:ascii="Symbol" w:hAnsi="Symbol" w:eastAsia="Symbol" w:cs="Symbol"/>
      </w:rPr>
    </w:lvl>
    <w:lvl w:ilvl="7">
      <w:start w:val="1"/>
      <w:numFmt w:val="bullet"/>
      <w:isLgl w:val="false"/>
      <w:suff w:val="tab"/>
      <w:lvlText w:val="o"/>
      <w:lvlJc w:val="left"/>
      <w:pPr>
        <w:pStyle w:val="1131"/>
        <w:ind w:left="5760" w:hanging="360"/>
      </w:pPr>
      <w:rPr>
        <w:rFonts w:ascii="Courier New" w:hAnsi="Courier New" w:eastAsia="Courier New" w:cs="Courier New"/>
      </w:rPr>
    </w:lvl>
    <w:lvl w:ilvl="8">
      <w:start w:val="1"/>
      <w:numFmt w:val="bullet"/>
      <w:isLgl w:val="false"/>
      <w:suff w:val="tab"/>
      <w:lvlText w:val="§"/>
      <w:lvlJc w:val="left"/>
      <w:pPr>
        <w:pStyle w:val="1131"/>
        <w:ind w:left="6480" w:hanging="360"/>
      </w:pPr>
      <w:rPr>
        <w:rFonts w:ascii="Wingdings" w:hAnsi="Wingdings" w:eastAsia="Wingdings" w:cs="Wingdings"/>
      </w:rPr>
    </w:lvl>
  </w:abstractNum>
  <w:abstractNum w:abstractNumId="9">
    <w:multiLevelType w:val="hybridMultilevel"/>
    <w:lvl w:ilvl="0">
      <w:start w:val="1"/>
      <w:numFmt w:val="bullet"/>
      <w:pStyle w:val="1361"/>
      <w:isLgl w:val="false"/>
      <w:suff w:val="tab"/>
      <w:lvlText w:val=""/>
      <w:lvlJc w:val="left"/>
      <w:pPr>
        <w:pStyle w:val="1131"/>
        <w:ind w:left="780" w:hanging="360"/>
        <w:tabs>
          <w:tab w:val="num" w:pos="780" w:leader="none"/>
        </w:tabs>
      </w:pPr>
      <w:rPr>
        <w:rFonts w:ascii="Wingdings" w:hAnsi="Wingdings"/>
      </w:rPr>
    </w:lvl>
    <w:lvl w:ilvl="1">
      <w:start w:val="1"/>
      <w:numFmt w:val="bullet"/>
      <w:isLgl w:val="false"/>
      <w:suff w:val="tab"/>
      <w:lvlText w:val="o"/>
      <w:lvlJc w:val="left"/>
      <w:pPr>
        <w:pStyle w:val="1131"/>
        <w:ind w:left="1440" w:hanging="360"/>
      </w:pPr>
      <w:rPr>
        <w:rFonts w:ascii="Courier New" w:hAnsi="Courier New" w:eastAsia="Courier New" w:cs="Courier New"/>
      </w:rPr>
    </w:lvl>
    <w:lvl w:ilvl="2">
      <w:start w:val="1"/>
      <w:numFmt w:val="bullet"/>
      <w:isLgl w:val="false"/>
      <w:suff w:val="tab"/>
      <w:lvlText w:val="§"/>
      <w:lvlJc w:val="left"/>
      <w:pPr>
        <w:pStyle w:val="1131"/>
        <w:ind w:left="2160" w:hanging="360"/>
      </w:pPr>
      <w:rPr>
        <w:rFonts w:ascii="Wingdings" w:hAnsi="Wingdings" w:eastAsia="Wingdings" w:cs="Wingdings"/>
      </w:rPr>
    </w:lvl>
    <w:lvl w:ilvl="3">
      <w:start w:val="1"/>
      <w:numFmt w:val="bullet"/>
      <w:isLgl w:val="false"/>
      <w:suff w:val="tab"/>
      <w:lvlText w:val="·"/>
      <w:lvlJc w:val="left"/>
      <w:pPr>
        <w:pStyle w:val="1131"/>
        <w:ind w:left="2880" w:hanging="360"/>
      </w:pPr>
      <w:rPr>
        <w:rFonts w:ascii="Symbol" w:hAnsi="Symbol" w:eastAsia="Symbol" w:cs="Symbol"/>
      </w:rPr>
    </w:lvl>
    <w:lvl w:ilvl="4">
      <w:start w:val="1"/>
      <w:numFmt w:val="bullet"/>
      <w:isLgl w:val="false"/>
      <w:suff w:val="tab"/>
      <w:lvlText w:val="o"/>
      <w:lvlJc w:val="left"/>
      <w:pPr>
        <w:pStyle w:val="1131"/>
        <w:ind w:left="3600" w:hanging="360"/>
      </w:pPr>
      <w:rPr>
        <w:rFonts w:ascii="Courier New" w:hAnsi="Courier New" w:eastAsia="Courier New" w:cs="Courier New"/>
      </w:rPr>
    </w:lvl>
    <w:lvl w:ilvl="5">
      <w:start w:val="1"/>
      <w:numFmt w:val="bullet"/>
      <w:isLgl w:val="false"/>
      <w:suff w:val="tab"/>
      <w:lvlText w:val="§"/>
      <w:lvlJc w:val="left"/>
      <w:pPr>
        <w:pStyle w:val="1131"/>
        <w:ind w:left="4320" w:hanging="360"/>
      </w:pPr>
      <w:rPr>
        <w:rFonts w:ascii="Wingdings" w:hAnsi="Wingdings" w:eastAsia="Wingdings" w:cs="Wingdings"/>
      </w:rPr>
    </w:lvl>
    <w:lvl w:ilvl="6">
      <w:start w:val="1"/>
      <w:numFmt w:val="bullet"/>
      <w:isLgl w:val="false"/>
      <w:suff w:val="tab"/>
      <w:lvlText w:val="·"/>
      <w:lvlJc w:val="left"/>
      <w:pPr>
        <w:pStyle w:val="1131"/>
        <w:ind w:left="5040" w:hanging="360"/>
      </w:pPr>
      <w:rPr>
        <w:rFonts w:ascii="Symbol" w:hAnsi="Symbol" w:eastAsia="Symbol" w:cs="Symbol"/>
      </w:rPr>
    </w:lvl>
    <w:lvl w:ilvl="7">
      <w:start w:val="1"/>
      <w:numFmt w:val="bullet"/>
      <w:isLgl w:val="false"/>
      <w:suff w:val="tab"/>
      <w:lvlText w:val="o"/>
      <w:lvlJc w:val="left"/>
      <w:pPr>
        <w:pStyle w:val="1131"/>
        <w:ind w:left="5760" w:hanging="360"/>
      </w:pPr>
      <w:rPr>
        <w:rFonts w:ascii="Courier New" w:hAnsi="Courier New" w:eastAsia="Courier New" w:cs="Courier New"/>
      </w:rPr>
    </w:lvl>
    <w:lvl w:ilvl="8">
      <w:start w:val="1"/>
      <w:numFmt w:val="bullet"/>
      <w:isLgl w:val="false"/>
      <w:suff w:val="tab"/>
      <w:lvlText w:val="§"/>
      <w:lvlJc w:val="left"/>
      <w:pPr>
        <w:pStyle w:val="1131"/>
        <w:ind w:left="6480" w:hanging="360"/>
      </w:pPr>
      <w:rPr>
        <w:rFonts w:ascii="Wingdings" w:hAnsi="Wingdings" w:eastAsia="Wingdings" w:cs="Wingdings"/>
      </w:rPr>
    </w:lvl>
  </w:abstractNum>
  <w:abstractNum w:abstractNumId="10">
    <w:multiLevelType w:val="hybridMultilevel"/>
    <w:lvl w:ilvl="0">
      <w:start w:val="3"/>
      <w:numFmt w:val="decimal"/>
      <w:isLgl w:val="false"/>
      <w:suff w:val="space"/>
      <w:lvlText w:val="%1."/>
      <w:lvlJc w:val="left"/>
      <w:pPr>
        <w:pStyle w:val="1131"/>
      </w:pPr>
    </w:lvl>
    <w:lvl w:ilvl="1">
      <w:start w:val="1"/>
      <w:numFmt w:val="bullet"/>
      <w:isLgl w:val="false"/>
      <w:suff w:val="tab"/>
      <w:lvlText w:val="o"/>
      <w:lvlJc w:val="left"/>
      <w:pPr>
        <w:pStyle w:val="1131"/>
        <w:ind w:left="1440" w:hanging="360"/>
      </w:pPr>
      <w:rPr>
        <w:rFonts w:ascii="Courier New" w:hAnsi="Courier New" w:eastAsia="Courier New" w:cs="Courier New"/>
      </w:rPr>
    </w:lvl>
    <w:lvl w:ilvl="2">
      <w:start w:val="1"/>
      <w:numFmt w:val="bullet"/>
      <w:isLgl w:val="false"/>
      <w:suff w:val="tab"/>
      <w:lvlText w:val="§"/>
      <w:lvlJc w:val="left"/>
      <w:pPr>
        <w:pStyle w:val="1131"/>
        <w:ind w:left="2160" w:hanging="360"/>
      </w:pPr>
      <w:rPr>
        <w:rFonts w:ascii="Wingdings" w:hAnsi="Wingdings" w:eastAsia="Wingdings" w:cs="Wingdings"/>
      </w:rPr>
    </w:lvl>
    <w:lvl w:ilvl="3">
      <w:start w:val="1"/>
      <w:numFmt w:val="bullet"/>
      <w:isLgl w:val="false"/>
      <w:suff w:val="tab"/>
      <w:lvlText w:val="·"/>
      <w:lvlJc w:val="left"/>
      <w:pPr>
        <w:pStyle w:val="1131"/>
        <w:ind w:left="2880" w:hanging="360"/>
      </w:pPr>
      <w:rPr>
        <w:rFonts w:ascii="Symbol" w:hAnsi="Symbol" w:eastAsia="Symbol" w:cs="Symbol"/>
      </w:rPr>
    </w:lvl>
    <w:lvl w:ilvl="4">
      <w:start w:val="1"/>
      <w:numFmt w:val="bullet"/>
      <w:isLgl w:val="false"/>
      <w:suff w:val="tab"/>
      <w:lvlText w:val="o"/>
      <w:lvlJc w:val="left"/>
      <w:pPr>
        <w:pStyle w:val="1131"/>
        <w:ind w:left="3600" w:hanging="360"/>
      </w:pPr>
      <w:rPr>
        <w:rFonts w:ascii="Courier New" w:hAnsi="Courier New" w:eastAsia="Courier New" w:cs="Courier New"/>
      </w:rPr>
    </w:lvl>
    <w:lvl w:ilvl="5">
      <w:start w:val="1"/>
      <w:numFmt w:val="bullet"/>
      <w:isLgl w:val="false"/>
      <w:suff w:val="tab"/>
      <w:lvlText w:val="§"/>
      <w:lvlJc w:val="left"/>
      <w:pPr>
        <w:pStyle w:val="1131"/>
        <w:ind w:left="4320" w:hanging="360"/>
      </w:pPr>
      <w:rPr>
        <w:rFonts w:ascii="Wingdings" w:hAnsi="Wingdings" w:eastAsia="Wingdings" w:cs="Wingdings"/>
      </w:rPr>
    </w:lvl>
    <w:lvl w:ilvl="6">
      <w:start w:val="1"/>
      <w:numFmt w:val="bullet"/>
      <w:isLgl w:val="false"/>
      <w:suff w:val="tab"/>
      <w:lvlText w:val="·"/>
      <w:lvlJc w:val="left"/>
      <w:pPr>
        <w:pStyle w:val="1131"/>
        <w:ind w:left="5040" w:hanging="360"/>
      </w:pPr>
      <w:rPr>
        <w:rFonts w:ascii="Symbol" w:hAnsi="Symbol" w:eastAsia="Symbol" w:cs="Symbol"/>
      </w:rPr>
    </w:lvl>
    <w:lvl w:ilvl="7">
      <w:start w:val="1"/>
      <w:numFmt w:val="bullet"/>
      <w:isLgl w:val="false"/>
      <w:suff w:val="tab"/>
      <w:lvlText w:val="o"/>
      <w:lvlJc w:val="left"/>
      <w:pPr>
        <w:pStyle w:val="1131"/>
        <w:ind w:left="5760" w:hanging="360"/>
      </w:pPr>
      <w:rPr>
        <w:rFonts w:ascii="Courier New" w:hAnsi="Courier New" w:eastAsia="Courier New" w:cs="Courier New"/>
      </w:rPr>
    </w:lvl>
    <w:lvl w:ilvl="8">
      <w:start w:val="1"/>
      <w:numFmt w:val="bullet"/>
      <w:isLgl w:val="false"/>
      <w:suff w:val="tab"/>
      <w:lvlText w:val="§"/>
      <w:lvlJc w:val="left"/>
      <w:pPr>
        <w:pStyle w:val="1131"/>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131"/>
      </w:pPr>
    </w:lvl>
    <w:lvl w:ilvl="1">
      <w:start w:val="1"/>
      <w:numFmt w:val="bullet"/>
      <w:isLgl w:val="false"/>
      <w:suff w:val="tab"/>
      <w:lvlText w:val="o"/>
      <w:lvlJc w:val="left"/>
      <w:pPr>
        <w:pStyle w:val="1131"/>
        <w:ind w:left="1440" w:hanging="360"/>
      </w:pPr>
      <w:rPr>
        <w:rFonts w:ascii="Courier New" w:hAnsi="Courier New" w:eastAsia="Courier New" w:cs="Courier New"/>
      </w:rPr>
    </w:lvl>
    <w:lvl w:ilvl="2">
      <w:start w:val="1"/>
      <w:numFmt w:val="bullet"/>
      <w:isLgl w:val="false"/>
      <w:suff w:val="tab"/>
      <w:lvlText w:val="§"/>
      <w:lvlJc w:val="left"/>
      <w:pPr>
        <w:pStyle w:val="1131"/>
        <w:ind w:left="2160" w:hanging="360"/>
      </w:pPr>
      <w:rPr>
        <w:rFonts w:ascii="Wingdings" w:hAnsi="Wingdings" w:eastAsia="Wingdings" w:cs="Wingdings"/>
      </w:rPr>
    </w:lvl>
    <w:lvl w:ilvl="3">
      <w:start w:val="1"/>
      <w:numFmt w:val="bullet"/>
      <w:isLgl w:val="false"/>
      <w:suff w:val="tab"/>
      <w:lvlText w:val="·"/>
      <w:lvlJc w:val="left"/>
      <w:pPr>
        <w:pStyle w:val="1131"/>
        <w:ind w:left="2880" w:hanging="360"/>
      </w:pPr>
      <w:rPr>
        <w:rFonts w:ascii="Symbol" w:hAnsi="Symbol" w:eastAsia="Symbol" w:cs="Symbol"/>
      </w:rPr>
    </w:lvl>
    <w:lvl w:ilvl="4">
      <w:start w:val="1"/>
      <w:numFmt w:val="bullet"/>
      <w:isLgl w:val="false"/>
      <w:suff w:val="tab"/>
      <w:lvlText w:val="o"/>
      <w:lvlJc w:val="left"/>
      <w:pPr>
        <w:pStyle w:val="1131"/>
        <w:ind w:left="3600" w:hanging="360"/>
      </w:pPr>
      <w:rPr>
        <w:rFonts w:ascii="Courier New" w:hAnsi="Courier New" w:eastAsia="Courier New" w:cs="Courier New"/>
      </w:rPr>
    </w:lvl>
    <w:lvl w:ilvl="5">
      <w:start w:val="1"/>
      <w:numFmt w:val="bullet"/>
      <w:isLgl w:val="false"/>
      <w:suff w:val="tab"/>
      <w:lvlText w:val="§"/>
      <w:lvlJc w:val="left"/>
      <w:pPr>
        <w:pStyle w:val="1131"/>
        <w:ind w:left="4320" w:hanging="360"/>
      </w:pPr>
      <w:rPr>
        <w:rFonts w:ascii="Wingdings" w:hAnsi="Wingdings" w:eastAsia="Wingdings" w:cs="Wingdings"/>
      </w:rPr>
    </w:lvl>
    <w:lvl w:ilvl="6">
      <w:start w:val="1"/>
      <w:numFmt w:val="bullet"/>
      <w:isLgl w:val="false"/>
      <w:suff w:val="tab"/>
      <w:lvlText w:val="·"/>
      <w:lvlJc w:val="left"/>
      <w:pPr>
        <w:pStyle w:val="1131"/>
        <w:ind w:left="5040" w:hanging="360"/>
      </w:pPr>
      <w:rPr>
        <w:rFonts w:ascii="Symbol" w:hAnsi="Symbol" w:eastAsia="Symbol" w:cs="Symbol"/>
      </w:rPr>
    </w:lvl>
    <w:lvl w:ilvl="7">
      <w:start w:val="1"/>
      <w:numFmt w:val="bullet"/>
      <w:isLgl w:val="false"/>
      <w:suff w:val="tab"/>
      <w:lvlText w:val="o"/>
      <w:lvlJc w:val="left"/>
      <w:pPr>
        <w:pStyle w:val="1131"/>
        <w:ind w:left="5760" w:hanging="360"/>
      </w:pPr>
      <w:rPr>
        <w:rFonts w:ascii="Courier New" w:hAnsi="Courier New" w:eastAsia="Courier New" w:cs="Courier New"/>
      </w:rPr>
    </w:lvl>
    <w:lvl w:ilvl="8">
      <w:start w:val="1"/>
      <w:numFmt w:val="bullet"/>
      <w:isLgl w:val="false"/>
      <w:suff w:val="tab"/>
      <w:lvlText w:val="§"/>
      <w:lvlJc w:val="left"/>
      <w:pPr>
        <w:pStyle w:val="1131"/>
        <w:ind w:left="6480" w:hanging="360"/>
      </w:pPr>
      <w:rPr>
        <w:rFonts w:ascii="Wingdings" w:hAnsi="Wingdings" w:eastAsia="Wingdings" w:cs="Wingdings"/>
      </w:rPr>
    </w:lvl>
  </w:abstractNum>
  <w:abstractNum w:abstractNumId="12">
    <w:multiLevelType w:val="hybridMultilevel"/>
    <w:lvl w:ilvl="0">
      <w:start w:val="1"/>
      <w:numFmt w:val="decimal"/>
      <w:pStyle w:val="1384"/>
      <w:isLgl w:val="false"/>
      <w:suff w:val="tab"/>
      <w:lvlText w:val="%1."/>
      <w:lvlJc w:val="left"/>
      <w:pPr>
        <w:pStyle w:val="1131"/>
        <w:ind w:left="360" w:hanging="360"/>
        <w:tabs>
          <w:tab w:val="num" w:pos="360" w:leader="none"/>
        </w:tabs>
      </w:pPr>
    </w:lvl>
    <w:lvl w:ilvl="1">
      <w:start w:val="1"/>
      <w:numFmt w:val="bullet"/>
      <w:isLgl w:val="false"/>
      <w:suff w:val="tab"/>
      <w:lvlText w:val="o"/>
      <w:lvlJc w:val="left"/>
      <w:pPr>
        <w:pStyle w:val="1131"/>
        <w:ind w:left="1440" w:hanging="360"/>
      </w:pPr>
      <w:rPr>
        <w:rFonts w:ascii="Courier New" w:hAnsi="Courier New" w:eastAsia="Courier New" w:cs="Courier New"/>
      </w:rPr>
    </w:lvl>
    <w:lvl w:ilvl="2">
      <w:start w:val="1"/>
      <w:numFmt w:val="bullet"/>
      <w:isLgl w:val="false"/>
      <w:suff w:val="tab"/>
      <w:lvlText w:val="§"/>
      <w:lvlJc w:val="left"/>
      <w:pPr>
        <w:pStyle w:val="1131"/>
        <w:ind w:left="2160" w:hanging="360"/>
      </w:pPr>
      <w:rPr>
        <w:rFonts w:ascii="Wingdings" w:hAnsi="Wingdings" w:eastAsia="Wingdings" w:cs="Wingdings"/>
      </w:rPr>
    </w:lvl>
    <w:lvl w:ilvl="3">
      <w:start w:val="1"/>
      <w:numFmt w:val="bullet"/>
      <w:isLgl w:val="false"/>
      <w:suff w:val="tab"/>
      <w:lvlText w:val="·"/>
      <w:lvlJc w:val="left"/>
      <w:pPr>
        <w:pStyle w:val="1131"/>
        <w:ind w:left="2880" w:hanging="360"/>
      </w:pPr>
      <w:rPr>
        <w:rFonts w:ascii="Symbol" w:hAnsi="Symbol" w:eastAsia="Symbol" w:cs="Symbol"/>
      </w:rPr>
    </w:lvl>
    <w:lvl w:ilvl="4">
      <w:start w:val="1"/>
      <w:numFmt w:val="bullet"/>
      <w:isLgl w:val="false"/>
      <w:suff w:val="tab"/>
      <w:lvlText w:val="o"/>
      <w:lvlJc w:val="left"/>
      <w:pPr>
        <w:pStyle w:val="1131"/>
        <w:ind w:left="3600" w:hanging="360"/>
      </w:pPr>
      <w:rPr>
        <w:rFonts w:ascii="Courier New" w:hAnsi="Courier New" w:eastAsia="Courier New" w:cs="Courier New"/>
      </w:rPr>
    </w:lvl>
    <w:lvl w:ilvl="5">
      <w:start w:val="1"/>
      <w:numFmt w:val="bullet"/>
      <w:isLgl w:val="false"/>
      <w:suff w:val="tab"/>
      <w:lvlText w:val="§"/>
      <w:lvlJc w:val="left"/>
      <w:pPr>
        <w:pStyle w:val="1131"/>
        <w:ind w:left="4320" w:hanging="360"/>
      </w:pPr>
      <w:rPr>
        <w:rFonts w:ascii="Wingdings" w:hAnsi="Wingdings" w:eastAsia="Wingdings" w:cs="Wingdings"/>
      </w:rPr>
    </w:lvl>
    <w:lvl w:ilvl="6">
      <w:start w:val="1"/>
      <w:numFmt w:val="bullet"/>
      <w:isLgl w:val="false"/>
      <w:suff w:val="tab"/>
      <w:lvlText w:val="·"/>
      <w:lvlJc w:val="left"/>
      <w:pPr>
        <w:pStyle w:val="1131"/>
        <w:ind w:left="5040" w:hanging="360"/>
      </w:pPr>
      <w:rPr>
        <w:rFonts w:ascii="Symbol" w:hAnsi="Symbol" w:eastAsia="Symbol" w:cs="Symbol"/>
      </w:rPr>
    </w:lvl>
    <w:lvl w:ilvl="7">
      <w:start w:val="1"/>
      <w:numFmt w:val="bullet"/>
      <w:isLgl w:val="false"/>
      <w:suff w:val="tab"/>
      <w:lvlText w:val="o"/>
      <w:lvlJc w:val="left"/>
      <w:pPr>
        <w:pStyle w:val="1131"/>
        <w:ind w:left="5760" w:hanging="360"/>
      </w:pPr>
      <w:rPr>
        <w:rFonts w:ascii="Courier New" w:hAnsi="Courier New" w:eastAsia="Courier New" w:cs="Courier New"/>
      </w:rPr>
    </w:lvl>
    <w:lvl w:ilvl="8">
      <w:start w:val="1"/>
      <w:numFmt w:val="bullet"/>
      <w:isLgl w:val="false"/>
      <w:suff w:val="tab"/>
      <w:lvlText w:val="§"/>
      <w:lvlJc w:val="left"/>
      <w:pPr>
        <w:pStyle w:val="1131"/>
        <w:ind w:left="6480" w:hanging="360"/>
      </w:pPr>
      <w:rPr>
        <w:rFonts w:ascii="Wingdings" w:hAnsi="Wingdings" w:eastAsia="Wingdings" w:cs="Wingdings"/>
      </w:rPr>
    </w:lvl>
  </w:abstractNum>
  <w:abstractNum w:abstractNumId="13">
    <w:multiLevelType w:val="hybridMultilevel"/>
    <w:lvl w:ilvl="0">
      <w:start w:val="1"/>
      <w:numFmt w:val="decimal"/>
      <w:pStyle w:val="1514"/>
      <w:isLgl w:val="false"/>
      <w:suff w:val="tab"/>
      <w:lvlText w:val="%1."/>
      <w:lvlJc w:val="left"/>
      <w:pPr>
        <w:pStyle w:val="1131"/>
        <w:ind w:left="420" w:hanging="420"/>
      </w:pPr>
    </w:lvl>
    <w:lvl w:ilvl="1">
      <w:start w:val="1"/>
      <w:numFmt w:val="lowerLetter"/>
      <w:isLgl w:val="false"/>
      <w:suff w:val="tab"/>
      <w:lvlText w:val="%2)"/>
      <w:lvlJc w:val="left"/>
      <w:pPr>
        <w:pStyle w:val="1131"/>
        <w:ind w:left="840" w:hanging="420"/>
      </w:pPr>
    </w:lvl>
    <w:lvl w:ilvl="2">
      <w:start w:val="1"/>
      <w:numFmt w:val="lowerRoman"/>
      <w:isLgl w:val="false"/>
      <w:suff w:val="tab"/>
      <w:lvlText w:val="%3."/>
      <w:lvlJc w:val="right"/>
      <w:pPr>
        <w:pStyle w:val="1131"/>
        <w:ind w:left="1260" w:hanging="420"/>
      </w:pPr>
    </w:lvl>
    <w:lvl w:ilvl="3">
      <w:start w:val="1"/>
      <w:numFmt w:val="decimal"/>
      <w:isLgl w:val="false"/>
      <w:suff w:val="tab"/>
      <w:lvlText w:val="%4."/>
      <w:lvlJc w:val="left"/>
      <w:pPr>
        <w:pStyle w:val="1131"/>
        <w:ind w:left="1680" w:hanging="420"/>
      </w:pPr>
    </w:lvl>
    <w:lvl w:ilvl="4">
      <w:start w:val="1"/>
      <w:numFmt w:val="lowerLetter"/>
      <w:isLgl w:val="false"/>
      <w:suff w:val="tab"/>
      <w:lvlText w:val="%5)"/>
      <w:lvlJc w:val="left"/>
      <w:pPr>
        <w:pStyle w:val="1131"/>
        <w:ind w:left="2100" w:hanging="420"/>
      </w:pPr>
    </w:lvl>
    <w:lvl w:ilvl="5">
      <w:start w:val="1"/>
      <w:numFmt w:val="lowerRoman"/>
      <w:isLgl w:val="false"/>
      <w:suff w:val="tab"/>
      <w:lvlText w:val="%6."/>
      <w:lvlJc w:val="right"/>
      <w:pPr>
        <w:pStyle w:val="1131"/>
        <w:ind w:left="2520" w:hanging="420"/>
      </w:pPr>
    </w:lvl>
    <w:lvl w:ilvl="6">
      <w:start w:val="1"/>
      <w:numFmt w:val="decimal"/>
      <w:isLgl w:val="false"/>
      <w:suff w:val="tab"/>
      <w:lvlText w:val="%7."/>
      <w:lvlJc w:val="left"/>
      <w:pPr>
        <w:pStyle w:val="1131"/>
        <w:ind w:left="2940" w:hanging="420"/>
      </w:pPr>
    </w:lvl>
    <w:lvl w:ilvl="7">
      <w:start w:val="1"/>
      <w:numFmt w:val="lowerLetter"/>
      <w:isLgl w:val="false"/>
      <w:suff w:val="tab"/>
      <w:lvlText w:val="%8)"/>
      <w:lvlJc w:val="left"/>
      <w:pPr>
        <w:pStyle w:val="1131"/>
        <w:ind w:left="3360" w:hanging="420"/>
      </w:pPr>
    </w:lvl>
    <w:lvl w:ilvl="8">
      <w:start w:val="1"/>
      <w:numFmt w:val="lowerRoman"/>
      <w:isLgl w:val="false"/>
      <w:suff w:val="tab"/>
      <w:lvlText w:val="%9."/>
      <w:lvlJc w:val="right"/>
      <w:pPr>
        <w:pStyle w:val="1131"/>
        <w:ind w:left="3780" w:hanging="420"/>
      </w:pPr>
    </w:lvl>
  </w:abstractNum>
  <w:abstractNum w:abstractNumId="14">
    <w:multiLevelType w:val="hybridMultilevel"/>
    <w:lvl w:ilvl="0">
      <w:start w:val="1"/>
      <w:numFmt w:val="decimal"/>
      <w:pStyle w:val="1456"/>
      <w:isLgl w:val="false"/>
      <w:suff w:val="tab"/>
      <w:lvlText w:val="%1."/>
      <w:lvlJc w:val="left"/>
      <w:pPr>
        <w:pStyle w:val="1131"/>
        <w:ind w:left="420" w:hanging="420"/>
      </w:pPr>
      <w:rPr>
        <w:rFonts w:hint="eastAsia"/>
      </w:rPr>
    </w:lvl>
    <w:lvl w:ilvl="1">
      <w:start w:val="1"/>
      <w:numFmt w:val="lowerLetter"/>
      <w:isLgl w:val="false"/>
      <w:suff w:val="tab"/>
      <w:lvlText w:val="%2)"/>
      <w:lvlJc w:val="left"/>
      <w:pPr>
        <w:pStyle w:val="1131"/>
        <w:ind w:left="840" w:hanging="420"/>
      </w:pPr>
    </w:lvl>
    <w:lvl w:ilvl="2">
      <w:start w:val="1"/>
      <w:numFmt w:val="lowerRoman"/>
      <w:isLgl w:val="false"/>
      <w:suff w:val="tab"/>
      <w:lvlText w:val="%3."/>
      <w:lvlJc w:val="right"/>
      <w:pPr>
        <w:pStyle w:val="1131"/>
        <w:ind w:left="1260" w:hanging="420"/>
      </w:pPr>
    </w:lvl>
    <w:lvl w:ilvl="3">
      <w:start w:val="1"/>
      <w:numFmt w:val="decimal"/>
      <w:isLgl w:val="false"/>
      <w:suff w:val="tab"/>
      <w:lvlText w:val="%4."/>
      <w:lvlJc w:val="left"/>
      <w:pPr>
        <w:pStyle w:val="1131"/>
        <w:ind w:left="1680" w:hanging="420"/>
      </w:pPr>
    </w:lvl>
    <w:lvl w:ilvl="4">
      <w:start w:val="1"/>
      <w:numFmt w:val="lowerLetter"/>
      <w:isLgl w:val="false"/>
      <w:suff w:val="tab"/>
      <w:lvlText w:val="%5)"/>
      <w:lvlJc w:val="left"/>
      <w:pPr>
        <w:pStyle w:val="1131"/>
        <w:ind w:left="2100" w:hanging="420"/>
      </w:pPr>
    </w:lvl>
    <w:lvl w:ilvl="5">
      <w:start w:val="1"/>
      <w:numFmt w:val="lowerRoman"/>
      <w:isLgl w:val="false"/>
      <w:suff w:val="tab"/>
      <w:lvlText w:val="%6."/>
      <w:lvlJc w:val="right"/>
      <w:pPr>
        <w:pStyle w:val="1131"/>
        <w:ind w:left="2520" w:hanging="420"/>
      </w:pPr>
    </w:lvl>
    <w:lvl w:ilvl="6">
      <w:start w:val="1"/>
      <w:numFmt w:val="decimal"/>
      <w:isLgl w:val="false"/>
      <w:suff w:val="tab"/>
      <w:lvlText w:val="%7."/>
      <w:lvlJc w:val="left"/>
      <w:pPr>
        <w:pStyle w:val="1131"/>
        <w:ind w:left="2940" w:hanging="420"/>
      </w:pPr>
    </w:lvl>
    <w:lvl w:ilvl="7">
      <w:start w:val="1"/>
      <w:numFmt w:val="lowerLetter"/>
      <w:isLgl w:val="false"/>
      <w:suff w:val="tab"/>
      <w:lvlText w:val="%8)"/>
      <w:lvlJc w:val="left"/>
      <w:pPr>
        <w:pStyle w:val="1131"/>
        <w:ind w:left="3360" w:hanging="420"/>
      </w:pPr>
    </w:lvl>
    <w:lvl w:ilvl="8">
      <w:start w:val="1"/>
      <w:numFmt w:val="lowerRoman"/>
      <w:isLgl w:val="false"/>
      <w:suff w:val="tab"/>
      <w:lvlText w:val="%9."/>
      <w:lvlJc w:val="right"/>
      <w:pPr>
        <w:pStyle w:val="1131"/>
        <w:ind w:left="3780" w:hanging="420"/>
      </w:pPr>
    </w:lvl>
  </w:abstractNum>
  <w:abstractNum w:abstractNumId="15">
    <w:multiLevelType w:val="hybridMultilevel"/>
    <w:lvl w:ilvl="0">
      <w:start w:val="1"/>
      <w:numFmt w:val="decimal"/>
      <w:pStyle w:val="1432"/>
      <w:isLgl w:val="false"/>
      <w:suff w:val="tab"/>
      <w:lvlText w:val="%1."/>
      <w:lvlJc w:val="left"/>
      <w:pPr>
        <w:pStyle w:val="1131"/>
        <w:ind w:left="2040" w:hanging="360"/>
        <w:tabs>
          <w:tab w:val="num" w:pos="2040" w:leader="none"/>
        </w:tabs>
      </w:pPr>
    </w:lvl>
    <w:lvl w:ilvl="1">
      <w:start w:val="1"/>
      <w:numFmt w:val="bullet"/>
      <w:isLgl w:val="false"/>
      <w:suff w:val="tab"/>
      <w:lvlText w:val="o"/>
      <w:lvlJc w:val="left"/>
      <w:pPr>
        <w:pStyle w:val="1131"/>
        <w:ind w:left="1440" w:hanging="360"/>
      </w:pPr>
      <w:rPr>
        <w:rFonts w:ascii="Courier New" w:hAnsi="Courier New" w:eastAsia="Courier New" w:cs="Courier New"/>
      </w:rPr>
    </w:lvl>
    <w:lvl w:ilvl="2">
      <w:start w:val="1"/>
      <w:numFmt w:val="bullet"/>
      <w:isLgl w:val="false"/>
      <w:suff w:val="tab"/>
      <w:lvlText w:val="§"/>
      <w:lvlJc w:val="left"/>
      <w:pPr>
        <w:pStyle w:val="1131"/>
        <w:ind w:left="2160" w:hanging="360"/>
      </w:pPr>
      <w:rPr>
        <w:rFonts w:ascii="Wingdings" w:hAnsi="Wingdings" w:eastAsia="Wingdings" w:cs="Wingdings"/>
      </w:rPr>
    </w:lvl>
    <w:lvl w:ilvl="3">
      <w:start w:val="1"/>
      <w:numFmt w:val="bullet"/>
      <w:isLgl w:val="false"/>
      <w:suff w:val="tab"/>
      <w:lvlText w:val="·"/>
      <w:lvlJc w:val="left"/>
      <w:pPr>
        <w:pStyle w:val="1131"/>
        <w:ind w:left="2880" w:hanging="360"/>
      </w:pPr>
      <w:rPr>
        <w:rFonts w:ascii="Symbol" w:hAnsi="Symbol" w:eastAsia="Symbol" w:cs="Symbol"/>
      </w:rPr>
    </w:lvl>
    <w:lvl w:ilvl="4">
      <w:start w:val="1"/>
      <w:numFmt w:val="bullet"/>
      <w:isLgl w:val="false"/>
      <w:suff w:val="tab"/>
      <w:lvlText w:val="o"/>
      <w:lvlJc w:val="left"/>
      <w:pPr>
        <w:pStyle w:val="1131"/>
        <w:ind w:left="3600" w:hanging="360"/>
      </w:pPr>
      <w:rPr>
        <w:rFonts w:ascii="Courier New" w:hAnsi="Courier New" w:eastAsia="Courier New" w:cs="Courier New"/>
      </w:rPr>
    </w:lvl>
    <w:lvl w:ilvl="5">
      <w:start w:val="1"/>
      <w:numFmt w:val="bullet"/>
      <w:isLgl w:val="false"/>
      <w:suff w:val="tab"/>
      <w:lvlText w:val="§"/>
      <w:lvlJc w:val="left"/>
      <w:pPr>
        <w:pStyle w:val="1131"/>
        <w:ind w:left="4320" w:hanging="360"/>
      </w:pPr>
      <w:rPr>
        <w:rFonts w:ascii="Wingdings" w:hAnsi="Wingdings" w:eastAsia="Wingdings" w:cs="Wingdings"/>
      </w:rPr>
    </w:lvl>
    <w:lvl w:ilvl="6">
      <w:start w:val="1"/>
      <w:numFmt w:val="bullet"/>
      <w:isLgl w:val="false"/>
      <w:suff w:val="tab"/>
      <w:lvlText w:val="·"/>
      <w:lvlJc w:val="left"/>
      <w:pPr>
        <w:pStyle w:val="1131"/>
        <w:ind w:left="5040" w:hanging="360"/>
      </w:pPr>
      <w:rPr>
        <w:rFonts w:ascii="Symbol" w:hAnsi="Symbol" w:eastAsia="Symbol" w:cs="Symbol"/>
      </w:rPr>
    </w:lvl>
    <w:lvl w:ilvl="7">
      <w:start w:val="1"/>
      <w:numFmt w:val="bullet"/>
      <w:isLgl w:val="false"/>
      <w:suff w:val="tab"/>
      <w:lvlText w:val="o"/>
      <w:lvlJc w:val="left"/>
      <w:pPr>
        <w:pStyle w:val="1131"/>
        <w:ind w:left="5760" w:hanging="360"/>
      </w:pPr>
      <w:rPr>
        <w:rFonts w:ascii="Courier New" w:hAnsi="Courier New" w:eastAsia="Courier New" w:cs="Courier New"/>
      </w:rPr>
    </w:lvl>
    <w:lvl w:ilvl="8">
      <w:start w:val="1"/>
      <w:numFmt w:val="bullet"/>
      <w:isLgl w:val="false"/>
      <w:suff w:val="tab"/>
      <w:lvlText w:val="§"/>
      <w:lvlJc w:val="left"/>
      <w:pPr>
        <w:pStyle w:val="1131"/>
        <w:ind w:left="6480" w:hanging="360"/>
      </w:pPr>
      <w:rPr>
        <w:rFonts w:ascii="Wingdings" w:hAnsi="Wingdings" w:eastAsia="Wingdings" w:cs="Wingdings"/>
      </w:rPr>
    </w:lvl>
  </w:abstractNum>
  <w:num w:numId="1">
    <w:abstractNumId w:val="5"/>
  </w:num>
  <w:num w:numId="2">
    <w:abstractNumId w:val="2"/>
  </w:num>
  <w:num w:numId="3">
    <w:abstractNumId w:val="9"/>
  </w:num>
  <w:num w:numId="4">
    <w:abstractNumId w:val="12"/>
  </w:num>
  <w:num w:numId="5">
    <w:abstractNumId w:val="6"/>
  </w:num>
  <w:num w:numId="6">
    <w:abstractNumId w:val="8"/>
  </w:num>
  <w:num w:numId="7">
    <w:abstractNumId w:val="3"/>
  </w:num>
  <w:num w:numId="8">
    <w:abstractNumId w:val="15"/>
  </w:num>
  <w:num w:numId="9">
    <w:abstractNumId w:val="14"/>
  </w:num>
  <w:num w:numId="10">
    <w:abstractNumId w:val="4"/>
  </w:num>
  <w:num w:numId="11">
    <w:abstractNumId w:val="13"/>
  </w:num>
  <w:num w:numId="12">
    <w:abstractNumId w:val="1"/>
  </w:num>
  <w:num w:numId="13">
    <w:abstractNumId w:val="7"/>
  </w:num>
  <w:num w:numId="14">
    <w:abstractNumId w:val="0"/>
  </w:num>
  <w:num w:numId="15">
    <w:abstractNumId w:val="1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79">
    <w:name w:val="Heading 1"/>
    <w:basedOn w:val="1131"/>
    <w:next w:val="1131"/>
    <w:link w:val="1080"/>
    <w:uiPriority w:val="9"/>
    <w:qFormat/>
    <w:pPr>
      <w:keepLines/>
      <w:keepNext/>
      <w:spacing w:before="480" w:after="200"/>
      <w:outlineLvl w:val="0"/>
    </w:pPr>
    <w:rPr>
      <w:rFonts w:ascii="Arial" w:hAnsi="Arial" w:eastAsia="Arial" w:cs="Arial"/>
      <w:sz w:val="40"/>
      <w:szCs w:val="40"/>
    </w:rPr>
  </w:style>
  <w:style w:type="character" w:styleId="1080">
    <w:name w:val="Heading 1 Char"/>
    <w:link w:val="1079"/>
    <w:uiPriority w:val="9"/>
    <w:rPr>
      <w:rFonts w:ascii="Arial" w:hAnsi="Arial" w:eastAsia="Arial" w:cs="Arial"/>
      <w:sz w:val="40"/>
      <w:szCs w:val="40"/>
    </w:rPr>
  </w:style>
  <w:style w:type="paragraph" w:styleId="1081">
    <w:name w:val="Heading 2"/>
    <w:basedOn w:val="1131"/>
    <w:next w:val="1131"/>
    <w:link w:val="1082"/>
    <w:uiPriority w:val="9"/>
    <w:unhideWhenUsed/>
    <w:qFormat/>
    <w:pPr>
      <w:keepLines/>
      <w:keepNext/>
      <w:spacing w:before="360" w:after="200"/>
      <w:outlineLvl w:val="1"/>
    </w:pPr>
    <w:rPr>
      <w:rFonts w:ascii="Arial" w:hAnsi="Arial" w:eastAsia="Arial" w:cs="Arial"/>
      <w:sz w:val="34"/>
    </w:rPr>
  </w:style>
  <w:style w:type="character" w:styleId="1082">
    <w:name w:val="Heading 2 Char"/>
    <w:link w:val="1081"/>
    <w:uiPriority w:val="9"/>
    <w:rPr>
      <w:rFonts w:ascii="Arial" w:hAnsi="Arial" w:eastAsia="Arial" w:cs="Arial"/>
      <w:sz w:val="34"/>
    </w:rPr>
  </w:style>
  <w:style w:type="paragraph" w:styleId="1083">
    <w:name w:val="Heading 3"/>
    <w:basedOn w:val="1131"/>
    <w:next w:val="1131"/>
    <w:link w:val="1084"/>
    <w:uiPriority w:val="9"/>
    <w:unhideWhenUsed/>
    <w:qFormat/>
    <w:pPr>
      <w:keepLines/>
      <w:keepNext/>
      <w:spacing w:before="320" w:after="200"/>
      <w:outlineLvl w:val="2"/>
    </w:pPr>
    <w:rPr>
      <w:rFonts w:ascii="Arial" w:hAnsi="Arial" w:eastAsia="Arial" w:cs="Arial"/>
      <w:sz w:val="30"/>
      <w:szCs w:val="30"/>
    </w:rPr>
  </w:style>
  <w:style w:type="character" w:styleId="1084">
    <w:name w:val="Heading 3 Char"/>
    <w:link w:val="1083"/>
    <w:uiPriority w:val="9"/>
    <w:rPr>
      <w:rFonts w:ascii="Arial" w:hAnsi="Arial" w:eastAsia="Arial" w:cs="Arial"/>
      <w:sz w:val="30"/>
      <w:szCs w:val="30"/>
    </w:rPr>
  </w:style>
  <w:style w:type="paragraph" w:styleId="1085">
    <w:name w:val="Heading 4"/>
    <w:basedOn w:val="1131"/>
    <w:next w:val="1131"/>
    <w:link w:val="1086"/>
    <w:uiPriority w:val="9"/>
    <w:unhideWhenUsed/>
    <w:qFormat/>
    <w:pPr>
      <w:keepLines/>
      <w:keepNext/>
      <w:spacing w:before="320" w:after="200"/>
      <w:outlineLvl w:val="3"/>
    </w:pPr>
    <w:rPr>
      <w:rFonts w:ascii="Arial" w:hAnsi="Arial" w:eastAsia="Arial" w:cs="Arial"/>
      <w:b/>
      <w:bCs/>
      <w:sz w:val="26"/>
      <w:szCs w:val="26"/>
    </w:rPr>
  </w:style>
  <w:style w:type="character" w:styleId="1086">
    <w:name w:val="Heading 4 Char"/>
    <w:link w:val="1085"/>
    <w:uiPriority w:val="9"/>
    <w:rPr>
      <w:rFonts w:ascii="Arial" w:hAnsi="Arial" w:eastAsia="Arial" w:cs="Arial"/>
      <w:b/>
      <w:bCs/>
      <w:sz w:val="26"/>
      <w:szCs w:val="26"/>
    </w:rPr>
  </w:style>
  <w:style w:type="paragraph" w:styleId="1087">
    <w:name w:val="Heading 5"/>
    <w:basedOn w:val="1131"/>
    <w:next w:val="1131"/>
    <w:link w:val="1088"/>
    <w:uiPriority w:val="9"/>
    <w:unhideWhenUsed/>
    <w:qFormat/>
    <w:pPr>
      <w:keepLines/>
      <w:keepNext/>
      <w:spacing w:before="320" w:after="200"/>
      <w:outlineLvl w:val="4"/>
    </w:pPr>
    <w:rPr>
      <w:rFonts w:ascii="Arial" w:hAnsi="Arial" w:eastAsia="Arial" w:cs="Arial"/>
      <w:b/>
      <w:bCs/>
      <w:sz w:val="24"/>
      <w:szCs w:val="24"/>
    </w:rPr>
  </w:style>
  <w:style w:type="character" w:styleId="1088">
    <w:name w:val="Heading 5 Char"/>
    <w:link w:val="1087"/>
    <w:uiPriority w:val="9"/>
    <w:rPr>
      <w:rFonts w:ascii="Arial" w:hAnsi="Arial" w:eastAsia="Arial" w:cs="Arial"/>
      <w:b/>
      <w:bCs/>
      <w:sz w:val="24"/>
      <w:szCs w:val="24"/>
    </w:rPr>
  </w:style>
  <w:style w:type="paragraph" w:styleId="1089">
    <w:name w:val="Heading 6"/>
    <w:basedOn w:val="1131"/>
    <w:next w:val="1131"/>
    <w:link w:val="1090"/>
    <w:uiPriority w:val="9"/>
    <w:unhideWhenUsed/>
    <w:qFormat/>
    <w:pPr>
      <w:keepLines/>
      <w:keepNext/>
      <w:spacing w:before="320" w:after="200"/>
      <w:outlineLvl w:val="5"/>
    </w:pPr>
    <w:rPr>
      <w:rFonts w:ascii="Arial" w:hAnsi="Arial" w:eastAsia="Arial" w:cs="Arial"/>
      <w:b/>
      <w:bCs/>
      <w:sz w:val="22"/>
      <w:szCs w:val="22"/>
    </w:rPr>
  </w:style>
  <w:style w:type="character" w:styleId="1090">
    <w:name w:val="Heading 6 Char"/>
    <w:link w:val="1089"/>
    <w:uiPriority w:val="9"/>
    <w:rPr>
      <w:rFonts w:ascii="Arial" w:hAnsi="Arial" w:eastAsia="Arial" w:cs="Arial"/>
      <w:b/>
      <w:bCs/>
      <w:sz w:val="22"/>
      <w:szCs w:val="22"/>
    </w:rPr>
  </w:style>
  <w:style w:type="paragraph" w:styleId="1091">
    <w:name w:val="Heading 7"/>
    <w:basedOn w:val="1131"/>
    <w:next w:val="1131"/>
    <w:link w:val="1092"/>
    <w:uiPriority w:val="9"/>
    <w:unhideWhenUsed/>
    <w:qFormat/>
    <w:pPr>
      <w:keepLines/>
      <w:keepNext/>
      <w:spacing w:before="320" w:after="200"/>
      <w:outlineLvl w:val="6"/>
    </w:pPr>
    <w:rPr>
      <w:rFonts w:ascii="Arial" w:hAnsi="Arial" w:eastAsia="Arial" w:cs="Arial"/>
      <w:b/>
      <w:bCs/>
      <w:i/>
      <w:iCs/>
      <w:sz w:val="22"/>
      <w:szCs w:val="22"/>
    </w:rPr>
  </w:style>
  <w:style w:type="character" w:styleId="1092">
    <w:name w:val="Heading 7 Char"/>
    <w:link w:val="1091"/>
    <w:uiPriority w:val="9"/>
    <w:rPr>
      <w:rFonts w:ascii="Arial" w:hAnsi="Arial" w:eastAsia="Arial" w:cs="Arial"/>
      <w:b/>
      <w:bCs/>
      <w:i/>
      <w:iCs/>
      <w:sz w:val="22"/>
      <w:szCs w:val="22"/>
    </w:rPr>
  </w:style>
  <w:style w:type="paragraph" w:styleId="1093">
    <w:name w:val="Heading 8"/>
    <w:basedOn w:val="1131"/>
    <w:next w:val="1131"/>
    <w:link w:val="1094"/>
    <w:uiPriority w:val="9"/>
    <w:unhideWhenUsed/>
    <w:qFormat/>
    <w:pPr>
      <w:keepLines/>
      <w:keepNext/>
      <w:spacing w:before="320" w:after="200"/>
      <w:outlineLvl w:val="7"/>
    </w:pPr>
    <w:rPr>
      <w:rFonts w:ascii="Arial" w:hAnsi="Arial" w:eastAsia="Arial" w:cs="Arial"/>
      <w:i/>
      <w:iCs/>
      <w:sz w:val="22"/>
      <w:szCs w:val="22"/>
    </w:rPr>
  </w:style>
  <w:style w:type="character" w:styleId="1094">
    <w:name w:val="Heading 8 Char"/>
    <w:link w:val="1093"/>
    <w:uiPriority w:val="9"/>
    <w:rPr>
      <w:rFonts w:ascii="Arial" w:hAnsi="Arial" w:eastAsia="Arial" w:cs="Arial"/>
      <w:i/>
      <w:iCs/>
      <w:sz w:val="22"/>
      <w:szCs w:val="22"/>
    </w:rPr>
  </w:style>
  <w:style w:type="paragraph" w:styleId="1095">
    <w:name w:val="Heading 9"/>
    <w:basedOn w:val="1131"/>
    <w:next w:val="1131"/>
    <w:link w:val="1096"/>
    <w:uiPriority w:val="9"/>
    <w:unhideWhenUsed/>
    <w:qFormat/>
    <w:pPr>
      <w:keepLines/>
      <w:keepNext/>
      <w:spacing w:before="320" w:after="200"/>
      <w:outlineLvl w:val="8"/>
    </w:pPr>
    <w:rPr>
      <w:rFonts w:ascii="Arial" w:hAnsi="Arial" w:eastAsia="Arial" w:cs="Arial"/>
      <w:i/>
      <w:iCs/>
      <w:sz w:val="21"/>
      <w:szCs w:val="21"/>
    </w:rPr>
  </w:style>
  <w:style w:type="character" w:styleId="1096">
    <w:name w:val="Heading 9 Char"/>
    <w:link w:val="1095"/>
    <w:uiPriority w:val="9"/>
    <w:rPr>
      <w:rFonts w:ascii="Arial" w:hAnsi="Arial" w:eastAsia="Arial" w:cs="Arial"/>
      <w:i/>
      <w:iCs/>
      <w:sz w:val="21"/>
      <w:szCs w:val="21"/>
    </w:rPr>
  </w:style>
  <w:style w:type="paragraph" w:styleId="1097">
    <w:name w:val="List Paragraph"/>
    <w:basedOn w:val="1131"/>
    <w:uiPriority w:val="34"/>
    <w:qFormat/>
    <w:pPr>
      <w:contextualSpacing/>
      <w:ind w:left="720"/>
    </w:pPr>
  </w:style>
  <w:style w:type="paragraph" w:styleId="1098">
    <w:name w:val="No Spacing"/>
    <w:uiPriority w:val="1"/>
    <w:qFormat/>
    <w:pPr>
      <w:spacing w:before="0" w:after="0" w:line="240" w:lineRule="auto"/>
    </w:pPr>
  </w:style>
  <w:style w:type="paragraph" w:styleId="1099">
    <w:name w:val="Title"/>
    <w:basedOn w:val="1131"/>
    <w:next w:val="1131"/>
    <w:link w:val="1100"/>
    <w:uiPriority w:val="10"/>
    <w:qFormat/>
    <w:pPr>
      <w:contextualSpacing/>
      <w:spacing w:before="300" w:after="200"/>
    </w:pPr>
    <w:rPr>
      <w:sz w:val="48"/>
      <w:szCs w:val="48"/>
    </w:rPr>
  </w:style>
  <w:style w:type="character" w:styleId="1100">
    <w:name w:val="Title Char"/>
    <w:link w:val="1099"/>
    <w:uiPriority w:val="10"/>
    <w:rPr>
      <w:sz w:val="48"/>
      <w:szCs w:val="48"/>
    </w:rPr>
  </w:style>
  <w:style w:type="paragraph" w:styleId="1101">
    <w:name w:val="Subtitle"/>
    <w:basedOn w:val="1131"/>
    <w:next w:val="1131"/>
    <w:link w:val="1102"/>
    <w:uiPriority w:val="11"/>
    <w:qFormat/>
    <w:pPr>
      <w:spacing w:before="200" w:after="200"/>
    </w:pPr>
    <w:rPr>
      <w:sz w:val="24"/>
      <w:szCs w:val="24"/>
    </w:rPr>
  </w:style>
  <w:style w:type="character" w:styleId="1102">
    <w:name w:val="Subtitle Char"/>
    <w:link w:val="1101"/>
    <w:uiPriority w:val="11"/>
    <w:rPr>
      <w:sz w:val="24"/>
      <w:szCs w:val="24"/>
    </w:rPr>
  </w:style>
  <w:style w:type="paragraph" w:styleId="1103">
    <w:name w:val="Quote"/>
    <w:basedOn w:val="1131"/>
    <w:next w:val="1131"/>
    <w:link w:val="1104"/>
    <w:uiPriority w:val="29"/>
    <w:qFormat/>
    <w:pPr>
      <w:ind w:left="720" w:right="720"/>
    </w:pPr>
    <w:rPr>
      <w:i/>
    </w:rPr>
  </w:style>
  <w:style w:type="character" w:styleId="1104">
    <w:name w:val="Quote Char"/>
    <w:link w:val="1103"/>
    <w:uiPriority w:val="29"/>
    <w:rPr>
      <w:i/>
    </w:rPr>
  </w:style>
  <w:style w:type="paragraph" w:styleId="1105">
    <w:name w:val="Intense Quote"/>
    <w:basedOn w:val="1131"/>
    <w:next w:val="1131"/>
    <w:link w:val="11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6">
    <w:name w:val="Intense Quote Char"/>
    <w:link w:val="1105"/>
    <w:uiPriority w:val="30"/>
    <w:rPr>
      <w:i/>
    </w:rPr>
  </w:style>
  <w:style w:type="paragraph" w:styleId="1107">
    <w:name w:val="Header"/>
    <w:basedOn w:val="1131"/>
    <w:link w:val="1108"/>
    <w:uiPriority w:val="99"/>
    <w:unhideWhenUsed/>
    <w:pPr>
      <w:spacing w:after="0" w:line="240" w:lineRule="auto"/>
      <w:tabs>
        <w:tab w:val="center" w:pos="7143" w:leader="none"/>
        <w:tab w:val="right" w:pos="14287" w:leader="none"/>
      </w:tabs>
    </w:pPr>
  </w:style>
  <w:style w:type="character" w:styleId="1108">
    <w:name w:val="Header Char"/>
    <w:link w:val="1107"/>
    <w:uiPriority w:val="99"/>
  </w:style>
  <w:style w:type="paragraph" w:styleId="1109">
    <w:name w:val="Footer"/>
    <w:basedOn w:val="1131"/>
    <w:link w:val="1111"/>
    <w:uiPriority w:val="99"/>
    <w:unhideWhenUsed/>
    <w:pPr>
      <w:spacing w:after="0" w:line="240" w:lineRule="auto"/>
      <w:tabs>
        <w:tab w:val="center" w:pos="7143" w:leader="none"/>
        <w:tab w:val="right" w:pos="14287" w:leader="none"/>
      </w:tabs>
    </w:pPr>
  </w:style>
  <w:style w:type="paragraph" w:styleId="1110">
    <w:name w:val="Caption"/>
    <w:basedOn w:val="1131"/>
    <w:next w:val="1131"/>
    <w:uiPriority w:val="35"/>
    <w:semiHidden/>
    <w:unhideWhenUsed/>
    <w:qFormat/>
    <w:pPr>
      <w:spacing w:line="276" w:lineRule="auto"/>
    </w:pPr>
    <w:rPr>
      <w:b/>
      <w:bCs/>
      <w:color w:val="4f81bd" w:themeColor="accent1"/>
      <w:sz w:val="18"/>
      <w:szCs w:val="18"/>
    </w:rPr>
  </w:style>
  <w:style w:type="character" w:styleId="1111">
    <w:name w:val="Caption Char"/>
    <w:basedOn w:val="1110"/>
    <w:link w:val="1109"/>
    <w:uiPriority w:val="99"/>
  </w:style>
  <w:style w:type="table" w:styleId="11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13">
    <w:name w:val="Hyperlink"/>
    <w:uiPriority w:val="99"/>
    <w:unhideWhenUsed/>
    <w:rPr>
      <w:color w:val="0000ff" w:themeColor="hyperlink"/>
      <w:u w:val="single"/>
    </w:rPr>
  </w:style>
  <w:style w:type="paragraph" w:styleId="1114">
    <w:name w:val="footnote text"/>
    <w:basedOn w:val="1131"/>
    <w:link w:val="1115"/>
    <w:uiPriority w:val="99"/>
    <w:semiHidden/>
    <w:unhideWhenUsed/>
    <w:pPr>
      <w:spacing w:after="40" w:line="240" w:lineRule="auto"/>
    </w:pPr>
    <w:rPr>
      <w:sz w:val="18"/>
    </w:rPr>
  </w:style>
  <w:style w:type="character" w:styleId="1115">
    <w:name w:val="Footnote Text Char"/>
    <w:link w:val="1114"/>
    <w:uiPriority w:val="99"/>
    <w:rPr>
      <w:sz w:val="18"/>
    </w:rPr>
  </w:style>
  <w:style w:type="character" w:styleId="1116">
    <w:name w:val="footnote reference"/>
    <w:uiPriority w:val="99"/>
    <w:unhideWhenUsed/>
    <w:rPr>
      <w:vertAlign w:val="superscript"/>
    </w:rPr>
  </w:style>
  <w:style w:type="paragraph" w:styleId="1117">
    <w:name w:val="endnote text"/>
    <w:basedOn w:val="1131"/>
    <w:link w:val="1118"/>
    <w:uiPriority w:val="99"/>
    <w:semiHidden/>
    <w:unhideWhenUsed/>
    <w:pPr>
      <w:spacing w:after="0" w:line="240" w:lineRule="auto"/>
    </w:pPr>
    <w:rPr>
      <w:sz w:val="20"/>
    </w:rPr>
  </w:style>
  <w:style w:type="character" w:styleId="1118">
    <w:name w:val="Endnote Text Char"/>
    <w:link w:val="1117"/>
    <w:uiPriority w:val="99"/>
    <w:rPr>
      <w:sz w:val="20"/>
    </w:rPr>
  </w:style>
  <w:style w:type="character" w:styleId="1119">
    <w:name w:val="endnote reference"/>
    <w:uiPriority w:val="99"/>
    <w:semiHidden/>
    <w:unhideWhenUsed/>
    <w:rPr>
      <w:vertAlign w:val="superscript"/>
    </w:rPr>
  </w:style>
  <w:style w:type="paragraph" w:styleId="1120">
    <w:name w:val="toc 1"/>
    <w:basedOn w:val="1131"/>
    <w:next w:val="1131"/>
    <w:uiPriority w:val="39"/>
    <w:unhideWhenUsed/>
    <w:pPr>
      <w:ind w:left="0" w:right="0" w:firstLine="0"/>
      <w:spacing w:after="57"/>
    </w:pPr>
  </w:style>
  <w:style w:type="paragraph" w:styleId="1121">
    <w:name w:val="toc 2"/>
    <w:basedOn w:val="1131"/>
    <w:next w:val="1131"/>
    <w:uiPriority w:val="39"/>
    <w:unhideWhenUsed/>
    <w:pPr>
      <w:ind w:left="283" w:right="0" w:firstLine="0"/>
      <w:spacing w:after="57"/>
    </w:pPr>
  </w:style>
  <w:style w:type="paragraph" w:styleId="1122">
    <w:name w:val="toc 3"/>
    <w:basedOn w:val="1131"/>
    <w:next w:val="1131"/>
    <w:uiPriority w:val="39"/>
    <w:unhideWhenUsed/>
    <w:pPr>
      <w:ind w:left="567" w:right="0" w:firstLine="0"/>
      <w:spacing w:after="57"/>
    </w:pPr>
  </w:style>
  <w:style w:type="paragraph" w:styleId="1123">
    <w:name w:val="toc 4"/>
    <w:basedOn w:val="1131"/>
    <w:next w:val="1131"/>
    <w:uiPriority w:val="39"/>
    <w:unhideWhenUsed/>
    <w:pPr>
      <w:ind w:left="850" w:right="0" w:firstLine="0"/>
      <w:spacing w:after="57"/>
    </w:pPr>
  </w:style>
  <w:style w:type="paragraph" w:styleId="1124">
    <w:name w:val="toc 5"/>
    <w:basedOn w:val="1131"/>
    <w:next w:val="1131"/>
    <w:uiPriority w:val="39"/>
    <w:unhideWhenUsed/>
    <w:pPr>
      <w:ind w:left="1134" w:right="0" w:firstLine="0"/>
      <w:spacing w:after="57"/>
    </w:pPr>
  </w:style>
  <w:style w:type="paragraph" w:styleId="1125">
    <w:name w:val="toc 6"/>
    <w:basedOn w:val="1131"/>
    <w:next w:val="1131"/>
    <w:uiPriority w:val="39"/>
    <w:unhideWhenUsed/>
    <w:pPr>
      <w:ind w:left="1417" w:right="0" w:firstLine="0"/>
      <w:spacing w:after="57"/>
    </w:pPr>
  </w:style>
  <w:style w:type="paragraph" w:styleId="1126">
    <w:name w:val="toc 7"/>
    <w:basedOn w:val="1131"/>
    <w:next w:val="1131"/>
    <w:uiPriority w:val="39"/>
    <w:unhideWhenUsed/>
    <w:pPr>
      <w:ind w:left="1701" w:right="0" w:firstLine="0"/>
      <w:spacing w:after="57"/>
    </w:pPr>
  </w:style>
  <w:style w:type="paragraph" w:styleId="1127">
    <w:name w:val="toc 8"/>
    <w:basedOn w:val="1131"/>
    <w:next w:val="1131"/>
    <w:uiPriority w:val="39"/>
    <w:unhideWhenUsed/>
    <w:pPr>
      <w:ind w:left="1984" w:right="0" w:firstLine="0"/>
      <w:spacing w:after="57"/>
    </w:pPr>
  </w:style>
  <w:style w:type="paragraph" w:styleId="1128">
    <w:name w:val="toc 9"/>
    <w:basedOn w:val="1131"/>
    <w:next w:val="1131"/>
    <w:uiPriority w:val="39"/>
    <w:unhideWhenUsed/>
    <w:pPr>
      <w:ind w:left="2268" w:right="0" w:firstLine="0"/>
      <w:spacing w:after="57"/>
    </w:pPr>
  </w:style>
  <w:style w:type="paragraph" w:styleId="1129">
    <w:name w:val="TOC Heading"/>
    <w:uiPriority w:val="39"/>
    <w:unhideWhenUsed/>
  </w:style>
  <w:style w:type="paragraph" w:styleId="1130">
    <w:name w:val="table of figures"/>
    <w:basedOn w:val="1131"/>
    <w:next w:val="1131"/>
    <w:uiPriority w:val="99"/>
    <w:unhideWhenUsed/>
    <w:pPr>
      <w:spacing w:after="0" w:afterAutospacing="0"/>
    </w:pPr>
  </w:style>
  <w:style w:type="paragraph" w:styleId="1131" w:default="1">
    <w:name w:val="Normal"/>
    <w:next w:val="1143"/>
    <w:link w:val="1131"/>
    <w:qFormat/>
    <w:pPr>
      <w:jc w:val="both"/>
      <w:widowControl w:val="off"/>
    </w:pPr>
    <w:rPr>
      <w:sz w:val="21"/>
      <w:szCs w:val="22"/>
      <w:lang w:val="en-US" w:eastAsia="zh-CN" w:bidi="ar-SA"/>
    </w:rPr>
  </w:style>
  <w:style w:type="paragraph" w:styleId="1132">
    <w:name w:val="标题 1"/>
    <w:basedOn w:val="1131"/>
    <w:next w:val="1131"/>
    <w:link w:val="1144"/>
    <w:uiPriority w:val="9"/>
    <w:qFormat/>
    <w:pPr>
      <w:keepLines/>
      <w:keepNext/>
      <w:spacing w:before="480" w:after="200"/>
      <w:outlineLvl w:val="0"/>
    </w:pPr>
    <w:rPr>
      <w:rFonts w:ascii="Arial" w:hAnsi="Arial" w:eastAsia="Arial"/>
      <w:sz w:val="40"/>
      <w:szCs w:val="40"/>
    </w:rPr>
  </w:style>
  <w:style w:type="paragraph" w:styleId="1133">
    <w:name w:val="标题 2"/>
    <w:basedOn w:val="1131"/>
    <w:next w:val="1131"/>
    <w:link w:val="1145"/>
    <w:uiPriority w:val="9"/>
    <w:qFormat/>
    <w:pPr>
      <w:keepLines/>
      <w:keepNext/>
      <w:spacing w:before="360" w:after="200"/>
      <w:outlineLvl w:val="1"/>
    </w:pPr>
    <w:rPr>
      <w:rFonts w:ascii="Arial" w:hAnsi="Arial" w:eastAsia="Arial"/>
      <w:sz w:val="34"/>
      <w:szCs w:val="20"/>
    </w:rPr>
  </w:style>
  <w:style w:type="paragraph" w:styleId="1134">
    <w:name w:val="标题 3"/>
    <w:basedOn w:val="1131"/>
    <w:next w:val="1131"/>
    <w:link w:val="1146"/>
    <w:uiPriority w:val="9"/>
    <w:qFormat/>
    <w:pPr>
      <w:keepLines/>
      <w:keepNext/>
      <w:spacing w:before="320" w:after="200"/>
      <w:outlineLvl w:val="2"/>
    </w:pPr>
    <w:rPr>
      <w:rFonts w:ascii="Arial" w:hAnsi="Arial" w:eastAsia="Arial"/>
      <w:sz w:val="30"/>
      <w:szCs w:val="30"/>
    </w:rPr>
  </w:style>
  <w:style w:type="paragraph" w:styleId="1135">
    <w:name w:val="标题 4"/>
    <w:basedOn w:val="1131"/>
    <w:next w:val="1131"/>
    <w:link w:val="1147"/>
    <w:uiPriority w:val="9"/>
    <w:qFormat/>
    <w:pPr>
      <w:keepLines/>
      <w:keepNext/>
      <w:spacing w:before="320" w:after="200"/>
      <w:outlineLvl w:val="3"/>
    </w:pPr>
    <w:rPr>
      <w:rFonts w:ascii="Arial" w:hAnsi="Arial" w:eastAsia="Arial"/>
      <w:b/>
      <w:bCs/>
      <w:sz w:val="26"/>
      <w:szCs w:val="26"/>
    </w:rPr>
  </w:style>
  <w:style w:type="paragraph" w:styleId="1136">
    <w:name w:val="标题 5"/>
    <w:basedOn w:val="1131"/>
    <w:next w:val="1131"/>
    <w:link w:val="1148"/>
    <w:uiPriority w:val="9"/>
    <w:qFormat/>
    <w:pPr>
      <w:keepLines/>
      <w:keepNext/>
      <w:spacing w:before="320" w:after="200"/>
      <w:outlineLvl w:val="4"/>
    </w:pPr>
    <w:rPr>
      <w:rFonts w:ascii="Arial" w:hAnsi="Arial" w:eastAsia="Arial"/>
      <w:b/>
      <w:bCs/>
      <w:sz w:val="24"/>
      <w:szCs w:val="24"/>
    </w:rPr>
  </w:style>
  <w:style w:type="paragraph" w:styleId="1137">
    <w:name w:val="标题 6"/>
    <w:basedOn w:val="1131"/>
    <w:next w:val="1131"/>
    <w:link w:val="1149"/>
    <w:uiPriority w:val="9"/>
    <w:qFormat/>
    <w:pPr>
      <w:keepLines/>
      <w:keepNext/>
      <w:spacing w:before="320" w:after="200"/>
      <w:outlineLvl w:val="5"/>
    </w:pPr>
    <w:rPr>
      <w:rFonts w:ascii="Arial" w:hAnsi="Arial" w:eastAsia="Arial"/>
      <w:b/>
      <w:bCs/>
      <w:sz w:val="22"/>
    </w:rPr>
  </w:style>
  <w:style w:type="paragraph" w:styleId="1138">
    <w:name w:val="标题 7"/>
    <w:basedOn w:val="1131"/>
    <w:next w:val="1131"/>
    <w:link w:val="1150"/>
    <w:uiPriority w:val="9"/>
    <w:qFormat/>
    <w:pPr>
      <w:keepLines/>
      <w:keepNext/>
      <w:spacing w:before="320" w:after="200"/>
      <w:outlineLvl w:val="6"/>
    </w:pPr>
    <w:rPr>
      <w:rFonts w:ascii="Arial" w:hAnsi="Arial" w:eastAsia="Arial"/>
      <w:b/>
      <w:bCs/>
      <w:i/>
      <w:iCs/>
      <w:sz w:val="22"/>
    </w:rPr>
  </w:style>
  <w:style w:type="paragraph" w:styleId="1139">
    <w:name w:val="标题 8"/>
    <w:basedOn w:val="1131"/>
    <w:next w:val="1131"/>
    <w:link w:val="1151"/>
    <w:uiPriority w:val="9"/>
    <w:qFormat/>
    <w:pPr>
      <w:keepLines/>
      <w:keepNext/>
      <w:spacing w:before="320" w:after="200"/>
      <w:outlineLvl w:val="7"/>
    </w:pPr>
    <w:rPr>
      <w:rFonts w:ascii="Arial" w:hAnsi="Arial" w:eastAsia="Arial"/>
      <w:i/>
      <w:iCs/>
      <w:sz w:val="22"/>
    </w:rPr>
  </w:style>
  <w:style w:type="paragraph" w:styleId="1140">
    <w:name w:val="标题 9"/>
    <w:basedOn w:val="1131"/>
    <w:next w:val="1131"/>
    <w:link w:val="1152"/>
    <w:uiPriority w:val="9"/>
    <w:qFormat/>
    <w:pPr>
      <w:keepLines/>
      <w:keepNext/>
      <w:spacing w:before="320" w:after="200"/>
      <w:outlineLvl w:val="8"/>
    </w:pPr>
    <w:rPr>
      <w:rFonts w:ascii="Arial" w:hAnsi="Arial" w:eastAsia="Arial"/>
      <w:i/>
      <w:iCs/>
      <w:szCs w:val="21"/>
    </w:rPr>
  </w:style>
  <w:style w:type="character" w:styleId="1141">
    <w:name w:val="默认段落字体"/>
    <w:next w:val="1141"/>
    <w:link w:val="1131"/>
    <w:uiPriority w:val="1"/>
    <w:unhideWhenUsed/>
  </w:style>
  <w:style w:type="table" w:styleId="1142">
    <w:name w:val="普通表格"/>
    <w:next w:val="1142"/>
    <w:link w:val="1131"/>
    <w:uiPriority w:val="99"/>
    <w:unhideWhenUsed/>
    <w:qFormat/>
    <w:tblPr/>
  </w:style>
  <w:style w:type="paragraph" w:styleId="1143">
    <w:name w:val="AONormal"/>
    <w:next w:val="1143"/>
    <w:link w:val="1131"/>
    <w:qFormat/>
    <w:pPr>
      <w:ind w:firstLine="440"/>
      <w:spacing w:line="400" w:lineRule="exact"/>
    </w:pPr>
    <w:rPr>
      <w:rFonts w:ascii="华文楷体" w:hAnsi="华文楷体" w:eastAsia="华文楷体" w:cs="华文楷体"/>
      <w:sz w:val="22"/>
      <w:szCs w:val="21"/>
      <w:lang w:val="en-US" w:eastAsia="zh-CN" w:bidi="ar-SA"/>
    </w:rPr>
  </w:style>
  <w:style w:type="character" w:styleId="1144">
    <w:name w:val="标题 1 Char1"/>
    <w:next w:val="1144"/>
    <w:link w:val="1132"/>
    <w:uiPriority w:val="9"/>
    <w:qFormat/>
    <w:rPr>
      <w:rFonts w:ascii="Arial" w:hAnsi="Arial" w:eastAsia="Arial" w:cs="Arial"/>
      <w:sz w:val="40"/>
      <w:szCs w:val="40"/>
    </w:rPr>
  </w:style>
  <w:style w:type="character" w:styleId="1145">
    <w:name w:val="标题 2 Char1"/>
    <w:next w:val="1145"/>
    <w:link w:val="1133"/>
    <w:uiPriority w:val="9"/>
    <w:qFormat/>
    <w:rPr>
      <w:rFonts w:ascii="Arial" w:hAnsi="Arial" w:eastAsia="Arial" w:cs="Arial"/>
      <w:sz w:val="34"/>
    </w:rPr>
  </w:style>
  <w:style w:type="character" w:styleId="1146">
    <w:name w:val="标题 3 Char1"/>
    <w:next w:val="1146"/>
    <w:link w:val="1134"/>
    <w:uiPriority w:val="9"/>
    <w:qFormat/>
    <w:rPr>
      <w:rFonts w:ascii="Arial" w:hAnsi="Arial" w:eastAsia="Arial" w:cs="Arial"/>
      <w:sz w:val="30"/>
      <w:szCs w:val="30"/>
    </w:rPr>
  </w:style>
  <w:style w:type="character" w:styleId="1147">
    <w:name w:val="标题 4 Char1"/>
    <w:next w:val="1147"/>
    <w:link w:val="1135"/>
    <w:uiPriority w:val="9"/>
    <w:qFormat/>
    <w:rPr>
      <w:rFonts w:ascii="Arial" w:hAnsi="Arial" w:eastAsia="Arial" w:cs="Arial"/>
      <w:b/>
      <w:bCs/>
      <w:sz w:val="26"/>
      <w:szCs w:val="26"/>
    </w:rPr>
  </w:style>
  <w:style w:type="character" w:styleId="1148">
    <w:name w:val="标题 5 Char1"/>
    <w:next w:val="1148"/>
    <w:link w:val="1136"/>
    <w:uiPriority w:val="9"/>
    <w:qFormat/>
    <w:rPr>
      <w:rFonts w:ascii="Arial" w:hAnsi="Arial" w:eastAsia="Arial" w:cs="Arial"/>
      <w:b/>
      <w:bCs/>
      <w:sz w:val="24"/>
      <w:szCs w:val="24"/>
    </w:rPr>
  </w:style>
  <w:style w:type="character" w:styleId="1149">
    <w:name w:val="标题 6 Char1"/>
    <w:next w:val="1149"/>
    <w:link w:val="1137"/>
    <w:uiPriority w:val="9"/>
    <w:qFormat/>
    <w:rPr>
      <w:rFonts w:ascii="Arial" w:hAnsi="Arial" w:eastAsia="Arial" w:cs="Arial"/>
      <w:b/>
      <w:bCs/>
      <w:sz w:val="22"/>
      <w:szCs w:val="22"/>
    </w:rPr>
  </w:style>
  <w:style w:type="character" w:styleId="1150">
    <w:name w:val="标题 7 Char1"/>
    <w:next w:val="1150"/>
    <w:link w:val="1138"/>
    <w:uiPriority w:val="9"/>
    <w:qFormat/>
    <w:rPr>
      <w:rFonts w:ascii="Arial" w:hAnsi="Arial" w:eastAsia="Arial" w:cs="Arial"/>
      <w:b/>
      <w:bCs/>
      <w:i/>
      <w:iCs/>
      <w:sz w:val="22"/>
      <w:szCs w:val="22"/>
    </w:rPr>
  </w:style>
  <w:style w:type="character" w:styleId="1151">
    <w:name w:val="标题 8 Char1"/>
    <w:next w:val="1151"/>
    <w:link w:val="1139"/>
    <w:uiPriority w:val="9"/>
    <w:qFormat/>
    <w:rPr>
      <w:rFonts w:ascii="Arial" w:hAnsi="Arial" w:eastAsia="Arial" w:cs="Arial"/>
      <w:i/>
      <w:iCs/>
      <w:sz w:val="22"/>
      <w:szCs w:val="22"/>
    </w:rPr>
  </w:style>
  <w:style w:type="character" w:styleId="1152">
    <w:name w:val="标题 9 Char1"/>
    <w:next w:val="1152"/>
    <w:link w:val="1140"/>
    <w:uiPriority w:val="9"/>
    <w:qFormat/>
    <w:rPr>
      <w:rFonts w:ascii="Arial" w:hAnsi="Arial" w:eastAsia="Arial" w:cs="Arial"/>
      <w:i/>
      <w:iCs/>
      <w:sz w:val="21"/>
      <w:szCs w:val="21"/>
    </w:rPr>
  </w:style>
  <w:style w:type="paragraph" w:styleId="1153">
    <w:name w:val="目录 7"/>
    <w:basedOn w:val="1131"/>
    <w:next w:val="1131"/>
    <w:link w:val="1131"/>
    <w:uiPriority w:val="39"/>
    <w:unhideWhenUsed/>
    <w:qFormat/>
    <w:pPr>
      <w:ind w:left="1701" w:right="0" w:firstLine="0"/>
      <w:spacing w:after="57"/>
    </w:pPr>
  </w:style>
  <w:style w:type="paragraph" w:styleId="1154">
    <w:name w:val="正文缩进"/>
    <w:basedOn w:val="1131"/>
    <w:next w:val="1154"/>
    <w:link w:val="1131"/>
    <w:unhideWhenUsed/>
    <w:qFormat/>
    <w:pPr>
      <w:ind w:firstLine="420"/>
    </w:pPr>
  </w:style>
  <w:style w:type="paragraph" w:styleId="1155">
    <w:name w:val="题注"/>
    <w:basedOn w:val="1131"/>
    <w:next w:val="1131"/>
    <w:link w:val="1131"/>
    <w:uiPriority w:val="35"/>
    <w:qFormat/>
    <w:pPr>
      <w:spacing w:line="276" w:lineRule="auto"/>
    </w:pPr>
    <w:rPr>
      <w:b/>
      <w:bCs/>
      <w:color w:val="4f81bd"/>
      <w:sz w:val="18"/>
      <w:szCs w:val="18"/>
    </w:rPr>
  </w:style>
  <w:style w:type="paragraph" w:styleId="1156">
    <w:name w:val="批注文字"/>
    <w:basedOn w:val="1131"/>
    <w:next w:val="1156"/>
    <w:link w:val="1157"/>
    <w:uiPriority w:val="99"/>
    <w:unhideWhenUsed/>
    <w:pPr>
      <w:jc w:val="left"/>
    </w:pPr>
  </w:style>
  <w:style w:type="character" w:styleId="1157">
    <w:name w:val="批注文字 Char2"/>
    <w:next w:val="1157"/>
    <w:link w:val="1156"/>
    <w:uiPriority w:val="99"/>
    <w:rPr>
      <w:sz w:val="21"/>
      <w:szCs w:val="22"/>
    </w:rPr>
  </w:style>
  <w:style w:type="paragraph" w:styleId="1158">
    <w:name w:val="正文文本"/>
    <w:basedOn w:val="1131"/>
    <w:next w:val="1131"/>
    <w:link w:val="1131"/>
    <w:qFormat/>
    <w:rPr>
      <w:rFonts w:ascii="楷体_GB2312" w:hAnsi="Arial" w:eastAsia="楷体_GB2312"/>
      <w:sz w:val="28"/>
      <w:szCs w:val="22"/>
    </w:rPr>
  </w:style>
  <w:style w:type="paragraph" w:styleId="1159">
    <w:name w:val="正文文本缩进"/>
    <w:basedOn w:val="1131"/>
    <w:next w:val="1159"/>
    <w:link w:val="1131"/>
    <w:qFormat/>
    <w:pPr>
      <w:ind w:left="420"/>
      <w:spacing w:after="120"/>
    </w:pPr>
  </w:style>
  <w:style w:type="paragraph" w:styleId="1160">
    <w:name w:val="目录 5"/>
    <w:basedOn w:val="1131"/>
    <w:next w:val="1131"/>
    <w:link w:val="1131"/>
    <w:uiPriority w:val="39"/>
    <w:unhideWhenUsed/>
    <w:qFormat/>
    <w:pPr>
      <w:ind w:left="1134" w:right="0" w:firstLine="0"/>
      <w:spacing w:after="57"/>
    </w:pPr>
  </w:style>
  <w:style w:type="paragraph" w:styleId="1161">
    <w:name w:val="目录 3"/>
    <w:basedOn w:val="1131"/>
    <w:next w:val="1131"/>
    <w:link w:val="1131"/>
    <w:uiPriority w:val="39"/>
    <w:unhideWhenUsed/>
    <w:qFormat/>
    <w:pPr>
      <w:ind w:left="567" w:right="0" w:firstLine="0"/>
      <w:spacing w:after="57"/>
    </w:pPr>
  </w:style>
  <w:style w:type="paragraph" w:styleId="1162">
    <w:name w:val="纯文本"/>
    <w:basedOn w:val="1131"/>
    <w:next w:val="1162"/>
    <w:link w:val="1131"/>
    <w:qFormat/>
    <w:rPr>
      <w:rFonts w:ascii="宋体" w:hAnsi="Courier New" w:cs="Courier New"/>
      <w:szCs w:val="21"/>
    </w:rPr>
  </w:style>
  <w:style w:type="paragraph" w:styleId="1163">
    <w:name w:val="目录 8"/>
    <w:basedOn w:val="1131"/>
    <w:next w:val="1131"/>
    <w:link w:val="1131"/>
    <w:uiPriority w:val="39"/>
    <w:unhideWhenUsed/>
    <w:qFormat/>
    <w:pPr>
      <w:ind w:left="1984" w:right="0" w:firstLine="0"/>
      <w:spacing w:after="57"/>
    </w:pPr>
  </w:style>
  <w:style w:type="paragraph" w:styleId="1164">
    <w:name w:val="尾注文本"/>
    <w:basedOn w:val="1131"/>
    <w:next w:val="1164"/>
    <w:link w:val="1165"/>
    <w:uiPriority w:val="99"/>
    <w:unhideWhenUsed/>
    <w:qFormat/>
    <w:pPr>
      <w:spacing w:after="0" w:line="240" w:lineRule="auto"/>
    </w:pPr>
    <w:rPr>
      <w:sz w:val="20"/>
      <w:szCs w:val="20"/>
    </w:rPr>
  </w:style>
  <w:style w:type="character" w:styleId="1165">
    <w:name w:val="尾注文本 Char2"/>
    <w:next w:val="1165"/>
    <w:link w:val="1164"/>
    <w:uiPriority w:val="99"/>
    <w:qFormat/>
    <w:rPr>
      <w:sz w:val="20"/>
    </w:rPr>
  </w:style>
  <w:style w:type="paragraph" w:styleId="1166">
    <w:name w:val="页脚"/>
    <w:basedOn w:val="1131"/>
    <w:next w:val="1166"/>
    <w:link w:val="1167"/>
    <w:uiPriority w:val="99"/>
    <w:unhideWhenUsed/>
    <w:qFormat/>
    <w:pPr>
      <w:spacing w:after="0" w:line="240" w:lineRule="auto"/>
      <w:tabs>
        <w:tab w:val="center" w:pos="7143" w:leader="none"/>
        <w:tab w:val="right" w:pos="14287" w:leader="none"/>
      </w:tabs>
    </w:pPr>
  </w:style>
  <w:style w:type="character" w:styleId="1167">
    <w:name w:val="页脚 Char2"/>
    <w:next w:val="1167"/>
    <w:link w:val="1166"/>
    <w:uiPriority w:val="99"/>
    <w:qFormat/>
  </w:style>
  <w:style w:type="paragraph" w:styleId="1168">
    <w:name w:val="页眉"/>
    <w:basedOn w:val="1131"/>
    <w:next w:val="1168"/>
    <w:link w:val="1169"/>
    <w:uiPriority w:val="99"/>
    <w:unhideWhenUsed/>
    <w:qFormat/>
    <w:pPr>
      <w:spacing w:after="0" w:line="240" w:lineRule="auto"/>
      <w:tabs>
        <w:tab w:val="center" w:pos="7143" w:leader="none"/>
        <w:tab w:val="right" w:pos="14287" w:leader="none"/>
      </w:tabs>
    </w:pPr>
  </w:style>
  <w:style w:type="character" w:styleId="1169">
    <w:name w:val="页眉 Char2"/>
    <w:next w:val="1169"/>
    <w:link w:val="1168"/>
    <w:uiPriority w:val="99"/>
    <w:qFormat/>
  </w:style>
  <w:style w:type="paragraph" w:styleId="1170">
    <w:name w:val="目录 1"/>
    <w:basedOn w:val="1131"/>
    <w:next w:val="1131"/>
    <w:link w:val="1131"/>
    <w:uiPriority w:val="39"/>
    <w:unhideWhenUsed/>
    <w:qFormat/>
    <w:pPr>
      <w:ind w:left="0" w:right="0" w:firstLine="0"/>
      <w:spacing w:after="57"/>
    </w:pPr>
  </w:style>
  <w:style w:type="paragraph" w:styleId="1171">
    <w:name w:val="目录 4"/>
    <w:basedOn w:val="1131"/>
    <w:next w:val="1131"/>
    <w:link w:val="1131"/>
    <w:uiPriority w:val="39"/>
    <w:unhideWhenUsed/>
    <w:qFormat/>
    <w:pPr>
      <w:ind w:left="850" w:right="0" w:firstLine="0"/>
      <w:spacing w:after="57"/>
    </w:pPr>
  </w:style>
  <w:style w:type="paragraph" w:styleId="1172">
    <w:name w:val="副标题"/>
    <w:basedOn w:val="1131"/>
    <w:next w:val="1131"/>
    <w:link w:val="1173"/>
    <w:uiPriority w:val="11"/>
    <w:qFormat/>
    <w:pPr>
      <w:spacing w:before="200" w:after="200"/>
    </w:pPr>
    <w:rPr>
      <w:sz w:val="24"/>
      <w:szCs w:val="24"/>
    </w:rPr>
  </w:style>
  <w:style w:type="character" w:styleId="1173">
    <w:name w:val="副标题 Char1"/>
    <w:next w:val="1173"/>
    <w:link w:val="1172"/>
    <w:uiPriority w:val="11"/>
    <w:qFormat/>
    <w:rPr>
      <w:sz w:val="24"/>
      <w:szCs w:val="24"/>
    </w:rPr>
  </w:style>
  <w:style w:type="paragraph" w:styleId="1174">
    <w:name w:val="脚注文本"/>
    <w:basedOn w:val="1131"/>
    <w:next w:val="1174"/>
    <w:link w:val="1175"/>
    <w:uiPriority w:val="99"/>
    <w:unhideWhenUsed/>
    <w:qFormat/>
    <w:pPr>
      <w:spacing w:after="40" w:line="240" w:lineRule="auto"/>
    </w:pPr>
    <w:rPr>
      <w:sz w:val="18"/>
      <w:szCs w:val="20"/>
    </w:rPr>
  </w:style>
  <w:style w:type="character" w:styleId="1175">
    <w:name w:val="脚注文本 Char2"/>
    <w:next w:val="1175"/>
    <w:link w:val="1174"/>
    <w:uiPriority w:val="99"/>
    <w:qFormat/>
    <w:rPr>
      <w:sz w:val="18"/>
    </w:rPr>
  </w:style>
  <w:style w:type="paragraph" w:styleId="1176">
    <w:name w:val="目录 6"/>
    <w:basedOn w:val="1131"/>
    <w:next w:val="1131"/>
    <w:link w:val="1131"/>
    <w:uiPriority w:val="39"/>
    <w:unhideWhenUsed/>
    <w:qFormat/>
    <w:pPr>
      <w:ind w:left="1417" w:right="0" w:firstLine="0"/>
      <w:spacing w:after="57"/>
    </w:pPr>
  </w:style>
  <w:style w:type="paragraph" w:styleId="1177">
    <w:name w:val="图表目录"/>
    <w:basedOn w:val="1131"/>
    <w:next w:val="1131"/>
    <w:link w:val="1131"/>
    <w:uiPriority w:val="99"/>
    <w:unhideWhenUsed/>
    <w:qFormat/>
    <w:pPr>
      <w:spacing w:after="0" w:afterAutospacing="0"/>
    </w:pPr>
  </w:style>
  <w:style w:type="paragraph" w:styleId="1178">
    <w:name w:val="目录 2"/>
    <w:basedOn w:val="1131"/>
    <w:next w:val="1131"/>
    <w:link w:val="1131"/>
    <w:uiPriority w:val="39"/>
    <w:unhideWhenUsed/>
    <w:qFormat/>
    <w:pPr>
      <w:ind w:left="283" w:right="0" w:firstLine="0"/>
      <w:spacing w:after="57"/>
    </w:pPr>
  </w:style>
  <w:style w:type="paragraph" w:styleId="1179">
    <w:name w:val="目录 9"/>
    <w:basedOn w:val="1131"/>
    <w:next w:val="1131"/>
    <w:link w:val="1131"/>
    <w:uiPriority w:val="39"/>
    <w:unhideWhenUsed/>
    <w:qFormat/>
    <w:pPr>
      <w:ind w:left="2268" w:right="0" w:firstLine="0"/>
      <w:spacing w:after="57"/>
    </w:pPr>
  </w:style>
  <w:style w:type="paragraph" w:styleId="1180">
    <w:name w:val="普通(网站)"/>
    <w:basedOn w:val="1131"/>
    <w:next w:val="1180"/>
    <w:link w:val="1131"/>
    <w:uiPriority w:val="99"/>
    <w:unhideWhenUsed/>
    <w:qFormat/>
    <w:pPr>
      <w:ind w:left="0" w:right="0"/>
      <w:jc w:val="left"/>
      <w:spacing w:before="0" w:beforeAutospacing="0" w:after="0" w:afterAutospacing="0"/>
      <w:pBdr>
        <w:top w:val="none" w:color="000000" w:sz="0" w:space="0"/>
        <w:left w:val="none" w:color="000000" w:sz="0" w:space="0"/>
        <w:bottom w:val="none" w:color="000000" w:sz="0" w:space="0"/>
        <w:right w:val="none" w:color="000000" w:sz="0" w:space="0"/>
      </w:pBdr>
    </w:pPr>
    <w:rPr>
      <w:sz w:val="24"/>
      <w:lang w:val="en-US" w:eastAsia="zh-CN" w:bidi="ar"/>
    </w:rPr>
  </w:style>
  <w:style w:type="paragraph" w:styleId="1181">
    <w:name w:val="标题"/>
    <w:basedOn w:val="1131"/>
    <w:next w:val="1131"/>
    <w:link w:val="1182"/>
    <w:uiPriority w:val="10"/>
    <w:qFormat/>
    <w:pPr>
      <w:contextualSpacing/>
      <w:spacing w:before="300" w:after="200"/>
    </w:pPr>
    <w:rPr>
      <w:sz w:val="48"/>
      <w:szCs w:val="48"/>
    </w:rPr>
  </w:style>
  <w:style w:type="character" w:styleId="1182">
    <w:name w:val="标题 Char2"/>
    <w:next w:val="1182"/>
    <w:link w:val="1181"/>
    <w:uiPriority w:val="10"/>
    <w:qFormat/>
    <w:rPr>
      <w:sz w:val="48"/>
      <w:szCs w:val="48"/>
    </w:rPr>
  </w:style>
  <w:style w:type="paragraph" w:styleId="1183">
    <w:name w:val="批注主题"/>
    <w:basedOn w:val="1156"/>
    <w:next w:val="1156"/>
    <w:link w:val="1184"/>
    <w:uiPriority w:val="99"/>
    <w:unhideWhenUsed/>
    <w:rPr>
      <w:b/>
      <w:bCs/>
    </w:rPr>
  </w:style>
  <w:style w:type="character" w:styleId="1184">
    <w:name w:val="批注主题 Char2"/>
    <w:next w:val="1184"/>
    <w:link w:val="1183"/>
    <w:uiPriority w:val="99"/>
    <w:semiHidden/>
    <w:rPr>
      <w:b/>
      <w:bCs/>
      <w:sz w:val="21"/>
      <w:szCs w:val="22"/>
    </w:rPr>
  </w:style>
  <w:style w:type="table" w:styleId="1185">
    <w:name w:val="网格型"/>
    <w:next w:val="1185"/>
    <w:link w:val="1131"/>
    <w:uiPriority w:val="59"/>
    <w:qFormat/>
    <w:rPr>
      <w:lang w:val="en-US" w:eastAsia="zh-CN" w:bidi="ar-SA"/>
    </w:rPr>
    <w:tblPr/>
  </w:style>
  <w:style w:type="character" w:styleId="1186">
    <w:name w:val="要点"/>
    <w:basedOn w:val="1141"/>
    <w:next w:val="1186"/>
    <w:link w:val="1131"/>
    <w:uiPriority w:val="22"/>
    <w:qFormat/>
  </w:style>
  <w:style w:type="character" w:styleId="1187">
    <w:name w:val="尾注引用"/>
    <w:next w:val="1187"/>
    <w:link w:val="1131"/>
    <w:uiPriority w:val="99"/>
    <w:unhideWhenUsed/>
    <w:qFormat/>
    <w:rPr>
      <w:vertAlign w:val="superscript"/>
    </w:rPr>
  </w:style>
  <w:style w:type="character" w:styleId="1188">
    <w:name w:val="已访问的超链接"/>
    <w:next w:val="1188"/>
    <w:link w:val="1131"/>
    <w:uiPriority w:val="99"/>
    <w:unhideWhenUsed/>
    <w:qFormat/>
    <w:rPr>
      <w:rFonts w:hint="eastAsia" w:ascii="宋体" w:hAnsi="宋体" w:eastAsia="宋体" w:cs="宋体"/>
      <w:color w:val="333333"/>
      <w:sz w:val="18"/>
      <w:szCs w:val="18"/>
      <w:u w:val="none"/>
    </w:rPr>
  </w:style>
  <w:style w:type="character" w:styleId="1189">
    <w:name w:val="强调"/>
    <w:basedOn w:val="1141"/>
    <w:next w:val="1189"/>
    <w:link w:val="1131"/>
    <w:uiPriority w:val="20"/>
    <w:qFormat/>
  </w:style>
  <w:style w:type="character" w:styleId="1190">
    <w:name w:val="HTML 定义"/>
    <w:basedOn w:val="1141"/>
    <w:next w:val="1190"/>
    <w:link w:val="1131"/>
    <w:uiPriority w:val="99"/>
    <w:unhideWhenUsed/>
    <w:qFormat/>
  </w:style>
  <w:style w:type="character" w:styleId="1191">
    <w:name w:val="HTML 缩写"/>
    <w:basedOn w:val="1141"/>
    <w:next w:val="1191"/>
    <w:link w:val="1131"/>
    <w:uiPriority w:val="99"/>
    <w:unhideWhenUsed/>
  </w:style>
  <w:style w:type="character" w:styleId="1192">
    <w:name w:val="HTML 变量"/>
    <w:basedOn w:val="1141"/>
    <w:next w:val="1192"/>
    <w:link w:val="1131"/>
    <w:uiPriority w:val="99"/>
    <w:unhideWhenUsed/>
  </w:style>
  <w:style w:type="character" w:styleId="1193">
    <w:name w:val="超链接"/>
    <w:next w:val="1193"/>
    <w:link w:val="1131"/>
    <w:uiPriority w:val="99"/>
    <w:unhideWhenUsed/>
    <w:qFormat/>
    <w:rPr>
      <w:color w:val="0000ff"/>
      <w:u w:val="single"/>
    </w:rPr>
  </w:style>
  <w:style w:type="character" w:styleId="1194">
    <w:name w:val="HTML 代码"/>
    <w:next w:val="1194"/>
    <w:link w:val="1131"/>
    <w:uiPriority w:val="99"/>
    <w:unhideWhenUsed/>
    <w:rPr>
      <w:rFonts w:ascii="Courier New" w:hAnsi="Courier New"/>
      <w:sz w:val="20"/>
    </w:rPr>
  </w:style>
  <w:style w:type="character" w:styleId="1195">
    <w:name w:val="批注引用"/>
    <w:next w:val="1195"/>
    <w:link w:val="1131"/>
    <w:uiPriority w:val="99"/>
    <w:unhideWhenUsed/>
    <w:rPr>
      <w:sz w:val="21"/>
      <w:szCs w:val="21"/>
    </w:rPr>
  </w:style>
  <w:style w:type="character" w:styleId="1196">
    <w:name w:val="HTML 引文"/>
    <w:basedOn w:val="1141"/>
    <w:next w:val="1196"/>
    <w:link w:val="1131"/>
    <w:uiPriority w:val="99"/>
    <w:unhideWhenUsed/>
  </w:style>
  <w:style w:type="character" w:styleId="1197">
    <w:name w:val="脚注引用"/>
    <w:next w:val="1197"/>
    <w:link w:val="1131"/>
    <w:uiPriority w:val="99"/>
    <w:unhideWhenUsed/>
    <w:qFormat/>
    <w:rPr>
      <w:vertAlign w:val="superscript"/>
    </w:rPr>
  </w:style>
  <w:style w:type="paragraph" w:styleId="1198">
    <w:name w:val="列出段落"/>
    <w:basedOn w:val="1131"/>
    <w:next w:val="1198"/>
    <w:link w:val="1131"/>
    <w:uiPriority w:val="34"/>
    <w:qFormat/>
    <w:pPr>
      <w:contextualSpacing/>
      <w:ind w:left="720"/>
    </w:pPr>
  </w:style>
  <w:style w:type="paragraph" w:styleId="1199">
    <w:name w:val="无间隔"/>
    <w:next w:val="1199"/>
    <w:link w:val="1131"/>
    <w:uiPriority w:val="1"/>
    <w:qFormat/>
    <w:rPr>
      <w:lang w:val="en-US" w:eastAsia="zh-CN" w:bidi="ar-SA"/>
    </w:rPr>
  </w:style>
  <w:style w:type="paragraph" w:styleId="1200">
    <w:name w:val="引用"/>
    <w:basedOn w:val="1131"/>
    <w:next w:val="1131"/>
    <w:link w:val="1201"/>
    <w:uiPriority w:val="29"/>
    <w:qFormat/>
    <w:pPr>
      <w:ind w:left="720" w:right="720"/>
    </w:pPr>
    <w:rPr>
      <w:i/>
      <w:sz w:val="20"/>
      <w:szCs w:val="20"/>
    </w:rPr>
  </w:style>
  <w:style w:type="character" w:styleId="1201">
    <w:name w:val="引用 Char"/>
    <w:next w:val="1201"/>
    <w:link w:val="1200"/>
    <w:uiPriority w:val="29"/>
    <w:qFormat/>
    <w:rPr>
      <w:i/>
    </w:rPr>
  </w:style>
  <w:style w:type="paragraph" w:styleId="1202">
    <w:name w:val="明显引用"/>
    <w:basedOn w:val="1131"/>
    <w:next w:val="1131"/>
    <w:link w:val="12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203">
    <w:name w:val="明显引用 Char"/>
    <w:next w:val="1203"/>
    <w:link w:val="1202"/>
    <w:uiPriority w:val="30"/>
    <w:qFormat/>
    <w:rPr>
      <w:i/>
    </w:rPr>
  </w:style>
  <w:style w:type="character" w:styleId="1204">
    <w:name w:val="Footer Char"/>
    <w:next w:val="1204"/>
    <w:link w:val="1131"/>
    <w:uiPriority w:val="99"/>
    <w:qFormat/>
  </w:style>
  <w:style w:type="table" w:styleId="1205">
    <w:name w:val="Table Grid Light"/>
    <w:next w:val="1205"/>
    <w:link w:val="1131"/>
    <w:uiPriority w:val="59"/>
    <w:qFormat/>
    <w:rPr>
      <w:lang w:val="en-US" w:eastAsia="zh-CN" w:bidi="ar-SA"/>
    </w:rPr>
    <w:tblPr/>
  </w:style>
  <w:style w:type="table" w:styleId="1206">
    <w:name w:val="Plain Table 1"/>
    <w:next w:val="1206"/>
    <w:link w:val="1131"/>
    <w:uiPriority w:val="59"/>
    <w:qFormat/>
    <w:rPr>
      <w:lang w:val="en-US" w:eastAsia="zh-CN" w:bidi="ar-SA"/>
    </w:rPr>
    <w:tblPr/>
  </w:style>
  <w:style w:type="table" w:styleId="1207">
    <w:name w:val="Plain Table 2"/>
    <w:next w:val="1207"/>
    <w:link w:val="1131"/>
    <w:uiPriority w:val="59"/>
    <w:qFormat/>
    <w:rPr>
      <w:lang w:val="en-US" w:eastAsia="zh-CN" w:bidi="ar-SA"/>
    </w:rPr>
    <w:tblPr/>
  </w:style>
  <w:style w:type="table" w:styleId="1208">
    <w:name w:val="Plain Table 3"/>
    <w:next w:val="1208"/>
    <w:link w:val="1131"/>
    <w:uiPriority w:val="99"/>
    <w:qFormat/>
    <w:rPr>
      <w:lang w:val="en-US" w:eastAsia="zh-CN" w:bidi="ar-SA"/>
    </w:rPr>
    <w:tblPr/>
  </w:style>
  <w:style w:type="table" w:styleId="1209">
    <w:name w:val="Plain Table 4"/>
    <w:next w:val="1209"/>
    <w:link w:val="1131"/>
    <w:uiPriority w:val="99"/>
    <w:qFormat/>
    <w:rPr>
      <w:lang w:val="en-US" w:eastAsia="zh-CN" w:bidi="ar-SA"/>
    </w:rPr>
    <w:tblPr/>
  </w:style>
  <w:style w:type="table" w:styleId="1210">
    <w:name w:val="Plain Table 5"/>
    <w:next w:val="1210"/>
    <w:link w:val="1131"/>
    <w:uiPriority w:val="99"/>
    <w:qFormat/>
    <w:rPr>
      <w:lang w:val="en-US" w:eastAsia="zh-CN" w:bidi="ar-SA"/>
    </w:rPr>
    <w:tblPr/>
  </w:style>
  <w:style w:type="table" w:styleId="1211">
    <w:name w:val="Grid Table 1 Light"/>
    <w:next w:val="1211"/>
    <w:link w:val="1131"/>
    <w:uiPriority w:val="99"/>
    <w:qFormat/>
    <w:rPr>
      <w:lang w:val="en-US" w:eastAsia="zh-CN" w:bidi="ar-SA"/>
    </w:rPr>
    <w:tblPr/>
  </w:style>
  <w:style w:type="table" w:styleId="1212">
    <w:name w:val="Grid Table 1 Light - Accent 1"/>
    <w:next w:val="1212"/>
    <w:link w:val="1131"/>
    <w:uiPriority w:val="99"/>
    <w:qFormat/>
    <w:rPr>
      <w:lang w:val="en-US" w:eastAsia="zh-CN" w:bidi="ar-SA"/>
    </w:rPr>
    <w:tblPr/>
  </w:style>
  <w:style w:type="table" w:styleId="1213">
    <w:name w:val="Grid Table 1 Light - Accent 2"/>
    <w:next w:val="1213"/>
    <w:link w:val="1131"/>
    <w:uiPriority w:val="99"/>
    <w:qFormat/>
    <w:rPr>
      <w:lang w:val="en-US" w:eastAsia="zh-CN" w:bidi="ar-SA"/>
    </w:rPr>
    <w:tblPr/>
  </w:style>
  <w:style w:type="table" w:styleId="1214">
    <w:name w:val="Grid Table 1 Light - Accent 3"/>
    <w:next w:val="1214"/>
    <w:link w:val="1131"/>
    <w:uiPriority w:val="99"/>
    <w:qFormat/>
    <w:rPr>
      <w:lang w:val="en-US" w:eastAsia="zh-CN" w:bidi="ar-SA"/>
    </w:rPr>
    <w:tblPr/>
  </w:style>
  <w:style w:type="table" w:styleId="1215">
    <w:name w:val="Grid Table 1 Light - Accent 4"/>
    <w:next w:val="1215"/>
    <w:link w:val="1131"/>
    <w:uiPriority w:val="99"/>
    <w:qFormat/>
    <w:rPr>
      <w:lang w:val="en-US" w:eastAsia="zh-CN" w:bidi="ar-SA"/>
    </w:rPr>
    <w:tblPr/>
  </w:style>
  <w:style w:type="table" w:styleId="1216">
    <w:name w:val="Grid Table 1 Light - Accent 5"/>
    <w:next w:val="1216"/>
    <w:link w:val="1131"/>
    <w:uiPriority w:val="99"/>
    <w:qFormat/>
    <w:rPr>
      <w:lang w:val="en-US" w:eastAsia="zh-CN" w:bidi="ar-SA"/>
    </w:rPr>
    <w:tblPr/>
  </w:style>
  <w:style w:type="table" w:styleId="1217">
    <w:name w:val="Grid Table 1 Light - Accent 6"/>
    <w:next w:val="1217"/>
    <w:link w:val="1131"/>
    <w:uiPriority w:val="99"/>
    <w:qFormat/>
    <w:rPr>
      <w:lang w:val="en-US" w:eastAsia="zh-CN" w:bidi="ar-SA"/>
    </w:rPr>
    <w:tblPr/>
  </w:style>
  <w:style w:type="table" w:styleId="1218">
    <w:name w:val="Grid Table 2"/>
    <w:next w:val="1218"/>
    <w:link w:val="1131"/>
    <w:uiPriority w:val="99"/>
    <w:qFormat/>
    <w:rPr>
      <w:lang w:val="en-US" w:eastAsia="zh-CN" w:bidi="ar-SA"/>
    </w:rPr>
    <w:tblPr/>
  </w:style>
  <w:style w:type="table" w:styleId="1219">
    <w:name w:val="Grid Table 2 - Accent 1"/>
    <w:next w:val="1219"/>
    <w:link w:val="1131"/>
    <w:uiPriority w:val="99"/>
    <w:qFormat/>
    <w:rPr>
      <w:lang w:val="en-US" w:eastAsia="zh-CN" w:bidi="ar-SA"/>
    </w:rPr>
    <w:tblPr/>
  </w:style>
  <w:style w:type="table" w:styleId="1220">
    <w:name w:val="Grid Table 2 - Accent 2"/>
    <w:next w:val="1220"/>
    <w:link w:val="1131"/>
    <w:uiPriority w:val="99"/>
    <w:qFormat/>
    <w:rPr>
      <w:lang w:val="en-US" w:eastAsia="zh-CN" w:bidi="ar-SA"/>
    </w:rPr>
    <w:tblPr/>
  </w:style>
  <w:style w:type="table" w:styleId="1221">
    <w:name w:val="Grid Table 2 - Accent 3"/>
    <w:next w:val="1221"/>
    <w:link w:val="1131"/>
    <w:uiPriority w:val="99"/>
    <w:qFormat/>
    <w:rPr>
      <w:lang w:val="en-US" w:eastAsia="zh-CN" w:bidi="ar-SA"/>
    </w:rPr>
    <w:tblPr/>
  </w:style>
  <w:style w:type="table" w:styleId="1222">
    <w:name w:val="Grid Table 2 - Accent 4"/>
    <w:next w:val="1222"/>
    <w:link w:val="1131"/>
    <w:uiPriority w:val="99"/>
    <w:qFormat/>
    <w:rPr>
      <w:lang w:val="en-US" w:eastAsia="zh-CN" w:bidi="ar-SA"/>
    </w:rPr>
    <w:tblPr/>
  </w:style>
  <w:style w:type="table" w:styleId="1223">
    <w:name w:val="Grid Table 2 - Accent 5"/>
    <w:next w:val="1223"/>
    <w:link w:val="1131"/>
    <w:uiPriority w:val="99"/>
    <w:qFormat/>
    <w:rPr>
      <w:lang w:val="en-US" w:eastAsia="zh-CN" w:bidi="ar-SA"/>
    </w:rPr>
    <w:tblPr/>
  </w:style>
  <w:style w:type="table" w:styleId="1224">
    <w:name w:val="Grid Table 2 - Accent 6"/>
    <w:next w:val="1224"/>
    <w:link w:val="1131"/>
    <w:uiPriority w:val="99"/>
    <w:qFormat/>
    <w:rPr>
      <w:lang w:val="en-US" w:eastAsia="zh-CN" w:bidi="ar-SA"/>
    </w:rPr>
    <w:tblPr/>
  </w:style>
  <w:style w:type="table" w:styleId="1225">
    <w:name w:val="Grid Table 3"/>
    <w:next w:val="1225"/>
    <w:link w:val="1131"/>
    <w:uiPriority w:val="99"/>
    <w:qFormat/>
    <w:rPr>
      <w:lang w:val="en-US" w:eastAsia="zh-CN" w:bidi="ar-SA"/>
    </w:rPr>
    <w:tblPr/>
  </w:style>
  <w:style w:type="table" w:styleId="1226">
    <w:name w:val="Grid Table 3 - Accent 1"/>
    <w:next w:val="1226"/>
    <w:link w:val="1131"/>
    <w:uiPriority w:val="99"/>
    <w:qFormat/>
    <w:rPr>
      <w:lang w:val="en-US" w:eastAsia="zh-CN" w:bidi="ar-SA"/>
    </w:rPr>
    <w:tblPr/>
  </w:style>
  <w:style w:type="table" w:styleId="1227">
    <w:name w:val="Grid Table 3 - Accent 2"/>
    <w:next w:val="1227"/>
    <w:link w:val="1131"/>
    <w:uiPriority w:val="99"/>
    <w:qFormat/>
    <w:rPr>
      <w:lang w:val="en-US" w:eastAsia="zh-CN" w:bidi="ar-SA"/>
    </w:rPr>
    <w:tblPr/>
  </w:style>
  <w:style w:type="table" w:styleId="1228">
    <w:name w:val="Grid Table 3 - Accent 3"/>
    <w:next w:val="1228"/>
    <w:link w:val="1131"/>
    <w:uiPriority w:val="99"/>
    <w:qFormat/>
    <w:rPr>
      <w:lang w:val="en-US" w:eastAsia="zh-CN" w:bidi="ar-SA"/>
    </w:rPr>
    <w:tblPr/>
  </w:style>
  <w:style w:type="table" w:styleId="1229">
    <w:name w:val="Grid Table 3 - Accent 4"/>
    <w:next w:val="1229"/>
    <w:link w:val="1131"/>
    <w:uiPriority w:val="99"/>
    <w:qFormat/>
    <w:rPr>
      <w:lang w:val="en-US" w:eastAsia="zh-CN" w:bidi="ar-SA"/>
    </w:rPr>
    <w:tblPr/>
  </w:style>
  <w:style w:type="table" w:styleId="1230">
    <w:name w:val="Grid Table 3 - Accent 5"/>
    <w:next w:val="1230"/>
    <w:link w:val="1131"/>
    <w:uiPriority w:val="99"/>
    <w:qFormat/>
    <w:rPr>
      <w:lang w:val="en-US" w:eastAsia="zh-CN" w:bidi="ar-SA"/>
    </w:rPr>
    <w:tblPr/>
  </w:style>
  <w:style w:type="table" w:styleId="1231">
    <w:name w:val="Grid Table 3 - Accent 6"/>
    <w:next w:val="1231"/>
    <w:link w:val="1131"/>
    <w:uiPriority w:val="99"/>
    <w:qFormat/>
    <w:rPr>
      <w:lang w:val="en-US" w:eastAsia="zh-CN" w:bidi="ar-SA"/>
    </w:rPr>
    <w:tblPr/>
  </w:style>
  <w:style w:type="table" w:styleId="1232">
    <w:name w:val="Grid Table 4"/>
    <w:next w:val="1232"/>
    <w:link w:val="1131"/>
    <w:uiPriority w:val="59"/>
    <w:qFormat/>
    <w:rPr>
      <w:lang w:val="en-US" w:eastAsia="zh-CN" w:bidi="ar-SA"/>
    </w:rPr>
    <w:tblPr/>
  </w:style>
  <w:style w:type="table" w:styleId="1233">
    <w:name w:val="Grid Table 4 - Accent 1"/>
    <w:next w:val="1233"/>
    <w:link w:val="1131"/>
    <w:uiPriority w:val="59"/>
    <w:qFormat/>
    <w:rPr>
      <w:lang w:val="en-US" w:eastAsia="zh-CN" w:bidi="ar-SA"/>
    </w:rPr>
    <w:tblPr/>
  </w:style>
  <w:style w:type="table" w:styleId="1234">
    <w:name w:val="Grid Table 4 - Accent 2"/>
    <w:next w:val="1234"/>
    <w:link w:val="1131"/>
    <w:uiPriority w:val="59"/>
    <w:qFormat/>
    <w:rPr>
      <w:lang w:val="en-US" w:eastAsia="zh-CN" w:bidi="ar-SA"/>
    </w:rPr>
    <w:tblPr/>
  </w:style>
  <w:style w:type="table" w:styleId="1235">
    <w:name w:val="Grid Table 4 - Accent 3"/>
    <w:next w:val="1235"/>
    <w:link w:val="1131"/>
    <w:uiPriority w:val="59"/>
    <w:qFormat/>
    <w:rPr>
      <w:lang w:val="en-US" w:eastAsia="zh-CN" w:bidi="ar-SA"/>
    </w:rPr>
    <w:tblPr/>
  </w:style>
  <w:style w:type="table" w:styleId="1236">
    <w:name w:val="Grid Table 4 - Accent 4"/>
    <w:next w:val="1236"/>
    <w:link w:val="1131"/>
    <w:uiPriority w:val="59"/>
    <w:qFormat/>
    <w:rPr>
      <w:lang w:val="en-US" w:eastAsia="zh-CN" w:bidi="ar-SA"/>
    </w:rPr>
    <w:tblPr/>
  </w:style>
  <w:style w:type="table" w:styleId="1237">
    <w:name w:val="Grid Table 4 - Accent 5"/>
    <w:next w:val="1237"/>
    <w:link w:val="1131"/>
    <w:uiPriority w:val="59"/>
    <w:qFormat/>
    <w:rPr>
      <w:lang w:val="en-US" w:eastAsia="zh-CN" w:bidi="ar-SA"/>
    </w:rPr>
    <w:tblPr/>
  </w:style>
  <w:style w:type="table" w:styleId="1238">
    <w:name w:val="Grid Table 4 - Accent 6"/>
    <w:next w:val="1238"/>
    <w:link w:val="1131"/>
    <w:uiPriority w:val="59"/>
    <w:qFormat/>
    <w:rPr>
      <w:lang w:val="en-US" w:eastAsia="zh-CN" w:bidi="ar-SA"/>
    </w:rPr>
    <w:tblPr/>
  </w:style>
  <w:style w:type="table" w:styleId="1239">
    <w:name w:val="Grid Table 5 Dark"/>
    <w:next w:val="1239"/>
    <w:link w:val="1131"/>
    <w:uiPriority w:val="99"/>
    <w:qFormat/>
    <w:rPr>
      <w:lang w:val="en-US" w:eastAsia="zh-CN" w:bidi="ar-SA"/>
    </w:rPr>
    <w:tblPr/>
  </w:style>
  <w:style w:type="table" w:styleId="1240">
    <w:name w:val="Grid Table 5 Dark- Accent 1"/>
    <w:next w:val="1240"/>
    <w:link w:val="1131"/>
    <w:uiPriority w:val="99"/>
    <w:qFormat/>
    <w:rPr>
      <w:lang w:val="en-US" w:eastAsia="zh-CN" w:bidi="ar-SA"/>
    </w:rPr>
    <w:tblPr/>
  </w:style>
  <w:style w:type="table" w:styleId="1241">
    <w:name w:val="Grid Table 5 Dark - Accent 2"/>
    <w:next w:val="1241"/>
    <w:link w:val="1131"/>
    <w:uiPriority w:val="99"/>
    <w:qFormat/>
    <w:rPr>
      <w:lang w:val="en-US" w:eastAsia="zh-CN" w:bidi="ar-SA"/>
    </w:rPr>
    <w:tblPr/>
  </w:style>
  <w:style w:type="table" w:styleId="1242">
    <w:name w:val="Grid Table 5 Dark - Accent 3"/>
    <w:next w:val="1242"/>
    <w:link w:val="1131"/>
    <w:uiPriority w:val="99"/>
    <w:qFormat/>
    <w:rPr>
      <w:lang w:val="en-US" w:eastAsia="zh-CN" w:bidi="ar-SA"/>
    </w:rPr>
    <w:tblPr/>
  </w:style>
  <w:style w:type="table" w:styleId="1243">
    <w:name w:val="Grid Table 5 Dark- Accent 4"/>
    <w:next w:val="1243"/>
    <w:link w:val="1131"/>
    <w:uiPriority w:val="99"/>
    <w:qFormat/>
    <w:rPr>
      <w:lang w:val="en-US" w:eastAsia="zh-CN" w:bidi="ar-SA"/>
    </w:rPr>
    <w:tblPr/>
  </w:style>
  <w:style w:type="table" w:styleId="1244">
    <w:name w:val="Grid Table 5 Dark - Accent 5"/>
    <w:next w:val="1244"/>
    <w:link w:val="1131"/>
    <w:uiPriority w:val="99"/>
    <w:qFormat/>
    <w:rPr>
      <w:lang w:val="en-US" w:eastAsia="zh-CN" w:bidi="ar-SA"/>
    </w:rPr>
    <w:tblPr/>
  </w:style>
  <w:style w:type="table" w:styleId="1245">
    <w:name w:val="Grid Table 5 Dark - Accent 6"/>
    <w:next w:val="1245"/>
    <w:link w:val="1131"/>
    <w:uiPriority w:val="99"/>
    <w:qFormat/>
    <w:rPr>
      <w:lang w:val="en-US" w:eastAsia="zh-CN" w:bidi="ar-SA"/>
    </w:rPr>
    <w:tblPr/>
  </w:style>
  <w:style w:type="table" w:styleId="1246">
    <w:name w:val="Grid Table 6 Colorful"/>
    <w:next w:val="1246"/>
    <w:link w:val="1131"/>
    <w:uiPriority w:val="99"/>
    <w:qFormat/>
    <w:rPr>
      <w:lang w:val="en-US" w:eastAsia="zh-CN" w:bidi="ar-SA"/>
    </w:rPr>
    <w:tblPr/>
  </w:style>
  <w:style w:type="table" w:styleId="1247">
    <w:name w:val="Grid Table 6 Colorful - Accent 1"/>
    <w:next w:val="1247"/>
    <w:link w:val="1131"/>
    <w:uiPriority w:val="99"/>
    <w:qFormat/>
    <w:rPr>
      <w:lang w:val="en-US" w:eastAsia="zh-CN" w:bidi="ar-SA"/>
    </w:rPr>
    <w:tblPr/>
  </w:style>
  <w:style w:type="table" w:styleId="1248">
    <w:name w:val="Grid Table 6 Colorful - Accent 2"/>
    <w:next w:val="1248"/>
    <w:link w:val="1131"/>
    <w:uiPriority w:val="99"/>
    <w:qFormat/>
    <w:rPr>
      <w:lang w:val="en-US" w:eastAsia="zh-CN" w:bidi="ar-SA"/>
    </w:rPr>
    <w:tblPr/>
  </w:style>
  <w:style w:type="table" w:styleId="1249">
    <w:name w:val="Grid Table 6 Colorful - Accent 3"/>
    <w:next w:val="1249"/>
    <w:link w:val="1131"/>
    <w:uiPriority w:val="99"/>
    <w:qFormat/>
    <w:rPr>
      <w:lang w:val="en-US" w:eastAsia="zh-CN" w:bidi="ar-SA"/>
    </w:rPr>
    <w:tblPr/>
  </w:style>
  <w:style w:type="table" w:styleId="1250">
    <w:name w:val="Grid Table 6 Colorful - Accent 4"/>
    <w:next w:val="1250"/>
    <w:link w:val="1131"/>
    <w:uiPriority w:val="99"/>
    <w:qFormat/>
    <w:rPr>
      <w:lang w:val="en-US" w:eastAsia="zh-CN" w:bidi="ar-SA"/>
    </w:rPr>
    <w:tblPr/>
  </w:style>
  <w:style w:type="table" w:styleId="1251">
    <w:name w:val="Grid Table 6 Colorful - Accent 5"/>
    <w:next w:val="1251"/>
    <w:link w:val="1131"/>
    <w:uiPriority w:val="99"/>
    <w:qFormat/>
    <w:rPr>
      <w:lang w:val="en-US" w:eastAsia="zh-CN" w:bidi="ar-SA"/>
    </w:rPr>
    <w:tblPr/>
  </w:style>
  <w:style w:type="table" w:styleId="1252">
    <w:name w:val="Grid Table 6 Colorful - Accent 6"/>
    <w:next w:val="1252"/>
    <w:link w:val="1131"/>
    <w:uiPriority w:val="99"/>
    <w:qFormat/>
    <w:rPr>
      <w:lang w:val="en-US" w:eastAsia="zh-CN" w:bidi="ar-SA"/>
    </w:rPr>
    <w:tblPr/>
  </w:style>
  <w:style w:type="table" w:styleId="1253">
    <w:name w:val="Grid Table 7 Colorful"/>
    <w:next w:val="1253"/>
    <w:link w:val="1131"/>
    <w:uiPriority w:val="99"/>
    <w:qFormat/>
    <w:rPr>
      <w:lang w:val="en-US" w:eastAsia="zh-CN" w:bidi="ar-SA"/>
    </w:rPr>
    <w:tblPr/>
  </w:style>
  <w:style w:type="table" w:styleId="1254">
    <w:name w:val="Grid Table 7 Colorful - Accent 1"/>
    <w:next w:val="1254"/>
    <w:link w:val="1131"/>
    <w:uiPriority w:val="99"/>
    <w:qFormat/>
    <w:rPr>
      <w:lang w:val="en-US" w:eastAsia="zh-CN" w:bidi="ar-SA"/>
    </w:rPr>
    <w:tblPr/>
  </w:style>
  <w:style w:type="table" w:styleId="1255">
    <w:name w:val="Grid Table 7 Colorful - Accent 2"/>
    <w:next w:val="1255"/>
    <w:link w:val="1131"/>
    <w:uiPriority w:val="99"/>
    <w:qFormat/>
    <w:rPr>
      <w:lang w:val="en-US" w:eastAsia="zh-CN" w:bidi="ar-SA"/>
    </w:rPr>
    <w:tblPr/>
  </w:style>
  <w:style w:type="table" w:styleId="1256">
    <w:name w:val="Grid Table 7 Colorful - Accent 3"/>
    <w:next w:val="1256"/>
    <w:link w:val="1131"/>
    <w:uiPriority w:val="99"/>
    <w:qFormat/>
    <w:rPr>
      <w:lang w:val="en-US" w:eastAsia="zh-CN" w:bidi="ar-SA"/>
    </w:rPr>
    <w:tblPr/>
  </w:style>
  <w:style w:type="table" w:styleId="1257">
    <w:name w:val="Grid Table 7 Colorful - Accent 4"/>
    <w:next w:val="1257"/>
    <w:link w:val="1131"/>
    <w:uiPriority w:val="99"/>
    <w:qFormat/>
    <w:rPr>
      <w:lang w:val="en-US" w:eastAsia="zh-CN" w:bidi="ar-SA"/>
    </w:rPr>
    <w:tblPr/>
  </w:style>
  <w:style w:type="table" w:styleId="1258">
    <w:name w:val="Grid Table 7 Colorful - Accent 5"/>
    <w:next w:val="1258"/>
    <w:link w:val="1131"/>
    <w:uiPriority w:val="99"/>
    <w:qFormat/>
    <w:rPr>
      <w:lang w:val="en-US" w:eastAsia="zh-CN" w:bidi="ar-SA"/>
    </w:rPr>
    <w:tblPr/>
  </w:style>
  <w:style w:type="table" w:styleId="1259">
    <w:name w:val="Grid Table 7 Colorful - Accent 6"/>
    <w:next w:val="1259"/>
    <w:link w:val="1131"/>
    <w:uiPriority w:val="99"/>
    <w:qFormat/>
    <w:rPr>
      <w:lang w:val="en-US" w:eastAsia="zh-CN" w:bidi="ar-SA"/>
    </w:rPr>
    <w:tblPr/>
  </w:style>
  <w:style w:type="table" w:styleId="1260">
    <w:name w:val="List Table 1 Light"/>
    <w:next w:val="1260"/>
    <w:link w:val="1131"/>
    <w:uiPriority w:val="99"/>
    <w:qFormat/>
    <w:rPr>
      <w:lang w:val="en-US" w:eastAsia="zh-CN" w:bidi="ar-SA"/>
    </w:rPr>
    <w:tblPr/>
  </w:style>
  <w:style w:type="table" w:styleId="1261">
    <w:name w:val="List Table 1 Light - Accent 1"/>
    <w:next w:val="1261"/>
    <w:link w:val="1131"/>
    <w:uiPriority w:val="99"/>
    <w:qFormat/>
    <w:rPr>
      <w:lang w:val="en-US" w:eastAsia="zh-CN" w:bidi="ar-SA"/>
    </w:rPr>
    <w:tblPr/>
  </w:style>
  <w:style w:type="table" w:styleId="1262">
    <w:name w:val="List Table 1 Light - Accent 2"/>
    <w:next w:val="1262"/>
    <w:link w:val="1131"/>
    <w:uiPriority w:val="99"/>
    <w:qFormat/>
    <w:rPr>
      <w:lang w:val="en-US" w:eastAsia="zh-CN" w:bidi="ar-SA"/>
    </w:rPr>
    <w:tblPr/>
  </w:style>
  <w:style w:type="table" w:styleId="1263">
    <w:name w:val="List Table 1 Light - Accent 3"/>
    <w:next w:val="1263"/>
    <w:link w:val="1131"/>
    <w:uiPriority w:val="99"/>
    <w:qFormat/>
    <w:rPr>
      <w:lang w:val="en-US" w:eastAsia="zh-CN" w:bidi="ar-SA"/>
    </w:rPr>
    <w:tblPr/>
  </w:style>
  <w:style w:type="table" w:styleId="1264">
    <w:name w:val="List Table 1 Light - Accent 4"/>
    <w:next w:val="1264"/>
    <w:link w:val="1131"/>
    <w:uiPriority w:val="99"/>
    <w:qFormat/>
    <w:rPr>
      <w:lang w:val="en-US" w:eastAsia="zh-CN" w:bidi="ar-SA"/>
    </w:rPr>
    <w:tblPr/>
  </w:style>
  <w:style w:type="table" w:styleId="1265">
    <w:name w:val="List Table 1 Light - Accent 5"/>
    <w:next w:val="1265"/>
    <w:link w:val="1131"/>
    <w:uiPriority w:val="99"/>
    <w:qFormat/>
    <w:rPr>
      <w:lang w:val="en-US" w:eastAsia="zh-CN" w:bidi="ar-SA"/>
    </w:rPr>
    <w:tblPr/>
  </w:style>
  <w:style w:type="table" w:styleId="1266">
    <w:name w:val="List Table 1 Light - Accent 6"/>
    <w:next w:val="1266"/>
    <w:link w:val="1131"/>
    <w:uiPriority w:val="99"/>
    <w:qFormat/>
    <w:rPr>
      <w:lang w:val="en-US" w:eastAsia="zh-CN" w:bidi="ar-SA"/>
    </w:rPr>
    <w:tblPr/>
  </w:style>
  <w:style w:type="table" w:styleId="1267">
    <w:name w:val="List Table 2"/>
    <w:next w:val="1267"/>
    <w:link w:val="1131"/>
    <w:uiPriority w:val="99"/>
    <w:qFormat/>
    <w:rPr>
      <w:lang w:val="en-US" w:eastAsia="zh-CN" w:bidi="ar-SA"/>
    </w:rPr>
    <w:tblPr/>
  </w:style>
  <w:style w:type="table" w:styleId="1268">
    <w:name w:val="List Table 2 - Accent 1"/>
    <w:next w:val="1268"/>
    <w:link w:val="1131"/>
    <w:uiPriority w:val="99"/>
    <w:qFormat/>
    <w:rPr>
      <w:lang w:val="en-US" w:eastAsia="zh-CN" w:bidi="ar-SA"/>
    </w:rPr>
    <w:tblPr/>
  </w:style>
  <w:style w:type="table" w:styleId="1269">
    <w:name w:val="List Table 2 - Accent 2"/>
    <w:next w:val="1269"/>
    <w:link w:val="1131"/>
    <w:uiPriority w:val="99"/>
    <w:qFormat/>
    <w:rPr>
      <w:lang w:val="en-US" w:eastAsia="zh-CN" w:bidi="ar-SA"/>
    </w:rPr>
    <w:tblPr/>
  </w:style>
  <w:style w:type="table" w:styleId="1270">
    <w:name w:val="List Table 2 - Accent 3"/>
    <w:next w:val="1270"/>
    <w:link w:val="1131"/>
    <w:uiPriority w:val="99"/>
    <w:qFormat/>
    <w:rPr>
      <w:lang w:val="en-US" w:eastAsia="zh-CN" w:bidi="ar-SA"/>
    </w:rPr>
    <w:tblPr/>
  </w:style>
  <w:style w:type="table" w:styleId="1271">
    <w:name w:val="List Table 2 - Accent 4"/>
    <w:next w:val="1271"/>
    <w:link w:val="1131"/>
    <w:uiPriority w:val="99"/>
    <w:qFormat/>
    <w:rPr>
      <w:lang w:val="en-US" w:eastAsia="zh-CN" w:bidi="ar-SA"/>
    </w:rPr>
    <w:tblPr/>
  </w:style>
  <w:style w:type="table" w:styleId="1272">
    <w:name w:val="List Table 2 - Accent 5"/>
    <w:next w:val="1272"/>
    <w:link w:val="1131"/>
    <w:uiPriority w:val="99"/>
    <w:qFormat/>
    <w:rPr>
      <w:lang w:val="en-US" w:eastAsia="zh-CN" w:bidi="ar-SA"/>
    </w:rPr>
    <w:tblPr/>
  </w:style>
  <w:style w:type="table" w:styleId="1273">
    <w:name w:val="List Table 2 - Accent 6"/>
    <w:next w:val="1273"/>
    <w:link w:val="1131"/>
    <w:uiPriority w:val="99"/>
    <w:qFormat/>
    <w:rPr>
      <w:lang w:val="en-US" w:eastAsia="zh-CN" w:bidi="ar-SA"/>
    </w:rPr>
    <w:tblPr/>
  </w:style>
  <w:style w:type="table" w:styleId="1274">
    <w:name w:val="List Table 3"/>
    <w:next w:val="1274"/>
    <w:link w:val="1131"/>
    <w:uiPriority w:val="99"/>
    <w:qFormat/>
    <w:rPr>
      <w:lang w:val="en-US" w:eastAsia="zh-CN" w:bidi="ar-SA"/>
    </w:rPr>
    <w:tblPr/>
  </w:style>
  <w:style w:type="table" w:styleId="1275">
    <w:name w:val="List Table 3 - Accent 1"/>
    <w:next w:val="1275"/>
    <w:link w:val="1131"/>
    <w:uiPriority w:val="99"/>
    <w:qFormat/>
    <w:rPr>
      <w:lang w:val="en-US" w:eastAsia="zh-CN" w:bidi="ar-SA"/>
    </w:rPr>
    <w:tblPr/>
  </w:style>
  <w:style w:type="table" w:styleId="1276">
    <w:name w:val="List Table 3 - Accent 2"/>
    <w:next w:val="1276"/>
    <w:link w:val="1131"/>
    <w:uiPriority w:val="99"/>
    <w:qFormat/>
    <w:rPr>
      <w:lang w:val="en-US" w:eastAsia="zh-CN" w:bidi="ar-SA"/>
    </w:rPr>
    <w:tblPr/>
  </w:style>
  <w:style w:type="table" w:styleId="1277">
    <w:name w:val="List Table 3 - Accent 3"/>
    <w:next w:val="1277"/>
    <w:link w:val="1131"/>
    <w:uiPriority w:val="99"/>
    <w:qFormat/>
    <w:rPr>
      <w:lang w:val="en-US" w:eastAsia="zh-CN" w:bidi="ar-SA"/>
    </w:rPr>
    <w:tblPr/>
  </w:style>
  <w:style w:type="table" w:styleId="1278">
    <w:name w:val="List Table 3 - Accent 4"/>
    <w:next w:val="1278"/>
    <w:link w:val="1131"/>
    <w:uiPriority w:val="99"/>
    <w:qFormat/>
    <w:rPr>
      <w:lang w:val="en-US" w:eastAsia="zh-CN" w:bidi="ar-SA"/>
    </w:rPr>
    <w:tblPr/>
  </w:style>
  <w:style w:type="table" w:styleId="1279">
    <w:name w:val="List Table 3 - Accent 5"/>
    <w:next w:val="1279"/>
    <w:link w:val="1131"/>
    <w:uiPriority w:val="99"/>
    <w:qFormat/>
    <w:rPr>
      <w:lang w:val="en-US" w:eastAsia="zh-CN" w:bidi="ar-SA"/>
    </w:rPr>
    <w:tblPr/>
  </w:style>
  <w:style w:type="table" w:styleId="1280">
    <w:name w:val="List Table 3 - Accent 6"/>
    <w:next w:val="1280"/>
    <w:link w:val="1131"/>
    <w:uiPriority w:val="99"/>
    <w:qFormat/>
    <w:rPr>
      <w:lang w:val="en-US" w:eastAsia="zh-CN" w:bidi="ar-SA"/>
    </w:rPr>
    <w:tblPr/>
  </w:style>
  <w:style w:type="table" w:styleId="1281">
    <w:name w:val="List Table 4"/>
    <w:next w:val="1281"/>
    <w:link w:val="1131"/>
    <w:uiPriority w:val="99"/>
    <w:qFormat/>
    <w:rPr>
      <w:lang w:val="en-US" w:eastAsia="zh-CN" w:bidi="ar-SA"/>
    </w:rPr>
    <w:tblPr/>
  </w:style>
  <w:style w:type="table" w:styleId="1282">
    <w:name w:val="List Table 4 - Accent 1"/>
    <w:next w:val="1282"/>
    <w:link w:val="1131"/>
    <w:uiPriority w:val="99"/>
    <w:qFormat/>
    <w:rPr>
      <w:lang w:val="en-US" w:eastAsia="zh-CN" w:bidi="ar-SA"/>
    </w:rPr>
    <w:tblPr/>
  </w:style>
  <w:style w:type="table" w:styleId="1283">
    <w:name w:val="List Table 4 - Accent 2"/>
    <w:next w:val="1283"/>
    <w:link w:val="1131"/>
    <w:uiPriority w:val="99"/>
    <w:qFormat/>
    <w:rPr>
      <w:lang w:val="en-US" w:eastAsia="zh-CN" w:bidi="ar-SA"/>
    </w:rPr>
    <w:tblPr/>
  </w:style>
  <w:style w:type="table" w:styleId="1284">
    <w:name w:val="List Table 4 - Accent 3"/>
    <w:next w:val="1284"/>
    <w:link w:val="1131"/>
    <w:uiPriority w:val="99"/>
    <w:qFormat/>
    <w:rPr>
      <w:lang w:val="en-US" w:eastAsia="zh-CN" w:bidi="ar-SA"/>
    </w:rPr>
    <w:tblPr/>
  </w:style>
  <w:style w:type="table" w:styleId="1285">
    <w:name w:val="List Table 4 - Accent 4"/>
    <w:next w:val="1285"/>
    <w:link w:val="1131"/>
    <w:uiPriority w:val="99"/>
    <w:qFormat/>
    <w:rPr>
      <w:lang w:val="en-US" w:eastAsia="zh-CN" w:bidi="ar-SA"/>
    </w:rPr>
    <w:tblPr/>
  </w:style>
  <w:style w:type="table" w:styleId="1286">
    <w:name w:val="List Table 4 - Accent 5"/>
    <w:next w:val="1286"/>
    <w:link w:val="1131"/>
    <w:uiPriority w:val="99"/>
    <w:qFormat/>
    <w:rPr>
      <w:lang w:val="en-US" w:eastAsia="zh-CN" w:bidi="ar-SA"/>
    </w:rPr>
    <w:tblPr/>
  </w:style>
  <w:style w:type="table" w:styleId="1287">
    <w:name w:val="List Table 4 - Accent 6"/>
    <w:next w:val="1287"/>
    <w:link w:val="1131"/>
    <w:uiPriority w:val="99"/>
    <w:qFormat/>
    <w:rPr>
      <w:lang w:val="en-US" w:eastAsia="zh-CN" w:bidi="ar-SA"/>
    </w:rPr>
    <w:tblPr/>
  </w:style>
  <w:style w:type="table" w:styleId="1288">
    <w:name w:val="List Table 5 Dark"/>
    <w:next w:val="1288"/>
    <w:link w:val="1131"/>
    <w:uiPriority w:val="99"/>
    <w:qFormat/>
    <w:rPr>
      <w:lang w:val="en-US" w:eastAsia="zh-CN" w:bidi="ar-SA"/>
    </w:rPr>
    <w:tblPr/>
  </w:style>
  <w:style w:type="table" w:styleId="1289">
    <w:name w:val="List Table 5 Dark - Accent 1"/>
    <w:next w:val="1289"/>
    <w:link w:val="1131"/>
    <w:uiPriority w:val="99"/>
    <w:qFormat/>
    <w:rPr>
      <w:lang w:val="en-US" w:eastAsia="zh-CN" w:bidi="ar-SA"/>
    </w:rPr>
    <w:tblPr/>
  </w:style>
  <w:style w:type="table" w:styleId="1290">
    <w:name w:val="List Table 5 Dark - Accent 2"/>
    <w:next w:val="1290"/>
    <w:link w:val="1131"/>
    <w:uiPriority w:val="99"/>
    <w:qFormat/>
    <w:rPr>
      <w:lang w:val="en-US" w:eastAsia="zh-CN" w:bidi="ar-SA"/>
    </w:rPr>
    <w:tblPr/>
  </w:style>
  <w:style w:type="table" w:styleId="1291">
    <w:name w:val="List Table 5 Dark - Accent 3"/>
    <w:next w:val="1291"/>
    <w:link w:val="1131"/>
    <w:uiPriority w:val="99"/>
    <w:qFormat/>
    <w:rPr>
      <w:lang w:val="en-US" w:eastAsia="zh-CN" w:bidi="ar-SA"/>
    </w:rPr>
    <w:tblPr/>
  </w:style>
  <w:style w:type="table" w:styleId="1292">
    <w:name w:val="List Table 5 Dark - Accent 4"/>
    <w:next w:val="1292"/>
    <w:link w:val="1131"/>
    <w:uiPriority w:val="99"/>
    <w:qFormat/>
    <w:rPr>
      <w:lang w:val="en-US" w:eastAsia="zh-CN" w:bidi="ar-SA"/>
    </w:rPr>
    <w:tblPr/>
  </w:style>
  <w:style w:type="table" w:styleId="1293">
    <w:name w:val="List Table 5 Dark - Accent 5"/>
    <w:next w:val="1293"/>
    <w:link w:val="1131"/>
    <w:uiPriority w:val="99"/>
    <w:qFormat/>
    <w:rPr>
      <w:lang w:val="en-US" w:eastAsia="zh-CN" w:bidi="ar-SA"/>
    </w:rPr>
    <w:tblPr/>
  </w:style>
  <w:style w:type="table" w:styleId="1294">
    <w:name w:val="List Table 5 Dark - Accent 6"/>
    <w:next w:val="1294"/>
    <w:link w:val="1131"/>
    <w:uiPriority w:val="99"/>
    <w:qFormat/>
    <w:rPr>
      <w:lang w:val="en-US" w:eastAsia="zh-CN" w:bidi="ar-SA"/>
    </w:rPr>
    <w:tblPr/>
  </w:style>
  <w:style w:type="table" w:styleId="1295">
    <w:name w:val="List Table 6 Colorful"/>
    <w:next w:val="1295"/>
    <w:link w:val="1131"/>
    <w:uiPriority w:val="99"/>
    <w:qFormat/>
    <w:rPr>
      <w:lang w:val="en-US" w:eastAsia="zh-CN" w:bidi="ar-SA"/>
    </w:rPr>
    <w:tblPr/>
  </w:style>
  <w:style w:type="table" w:styleId="1296">
    <w:name w:val="List Table 6 Colorful - Accent 1"/>
    <w:next w:val="1296"/>
    <w:link w:val="1131"/>
    <w:uiPriority w:val="99"/>
    <w:qFormat/>
    <w:rPr>
      <w:lang w:val="en-US" w:eastAsia="zh-CN" w:bidi="ar-SA"/>
    </w:rPr>
    <w:tblPr/>
  </w:style>
  <w:style w:type="table" w:styleId="1297">
    <w:name w:val="List Table 6 Colorful - Accent 2"/>
    <w:next w:val="1297"/>
    <w:link w:val="1131"/>
    <w:uiPriority w:val="99"/>
    <w:qFormat/>
    <w:rPr>
      <w:lang w:val="en-US" w:eastAsia="zh-CN" w:bidi="ar-SA"/>
    </w:rPr>
    <w:tblPr/>
  </w:style>
  <w:style w:type="table" w:styleId="1298">
    <w:name w:val="List Table 6 Colorful - Accent 3"/>
    <w:next w:val="1298"/>
    <w:link w:val="1131"/>
    <w:uiPriority w:val="99"/>
    <w:qFormat/>
    <w:rPr>
      <w:lang w:val="en-US" w:eastAsia="zh-CN" w:bidi="ar-SA"/>
    </w:rPr>
    <w:tblPr/>
  </w:style>
  <w:style w:type="table" w:styleId="1299">
    <w:name w:val="List Table 6 Colorful - Accent 4"/>
    <w:next w:val="1299"/>
    <w:link w:val="1131"/>
    <w:uiPriority w:val="99"/>
    <w:qFormat/>
    <w:rPr>
      <w:lang w:val="en-US" w:eastAsia="zh-CN" w:bidi="ar-SA"/>
    </w:rPr>
    <w:tblPr/>
  </w:style>
  <w:style w:type="table" w:styleId="1300">
    <w:name w:val="List Table 6 Colorful - Accent 5"/>
    <w:next w:val="1300"/>
    <w:link w:val="1131"/>
    <w:uiPriority w:val="99"/>
    <w:qFormat/>
    <w:rPr>
      <w:lang w:val="en-US" w:eastAsia="zh-CN" w:bidi="ar-SA"/>
    </w:rPr>
    <w:tblPr/>
  </w:style>
  <w:style w:type="table" w:styleId="1301">
    <w:name w:val="List Table 6 Colorful - Accent 6"/>
    <w:next w:val="1301"/>
    <w:link w:val="1131"/>
    <w:uiPriority w:val="99"/>
    <w:qFormat/>
    <w:rPr>
      <w:lang w:val="en-US" w:eastAsia="zh-CN" w:bidi="ar-SA"/>
    </w:rPr>
    <w:tblPr/>
  </w:style>
  <w:style w:type="table" w:styleId="1302">
    <w:name w:val="List Table 7 Colorful"/>
    <w:next w:val="1302"/>
    <w:link w:val="1131"/>
    <w:uiPriority w:val="99"/>
    <w:qFormat/>
    <w:rPr>
      <w:lang w:val="en-US" w:eastAsia="zh-CN" w:bidi="ar-SA"/>
    </w:rPr>
    <w:tblPr/>
  </w:style>
  <w:style w:type="table" w:styleId="1303">
    <w:name w:val="List Table 7 Colorful - Accent 1"/>
    <w:next w:val="1303"/>
    <w:link w:val="1131"/>
    <w:uiPriority w:val="99"/>
    <w:qFormat/>
    <w:rPr>
      <w:lang w:val="en-US" w:eastAsia="zh-CN" w:bidi="ar-SA"/>
    </w:rPr>
    <w:tblPr/>
  </w:style>
  <w:style w:type="table" w:styleId="1304">
    <w:name w:val="List Table 7 Colorful - Accent 2"/>
    <w:next w:val="1304"/>
    <w:link w:val="1131"/>
    <w:uiPriority w:val="99"/>
    <w:qFormat/>
    <w:rPr>
      <w:lang w:val="en-US" w:eastAsia="zh-CN" w:bidi="ar-SA"/>
    </w:rPr>
    <w:tblPr/>
  </w:style>
  <w:style w:type="table" w:styleId="1305">
    <w:name w:val="List Table 7 Colorful - Accent 3"/>
    <w:next w:val="1305"/>
    <w:link w:val="1131"/>
    <w:uiPriority w:val="99"/>
    <w:qFormat/>
    <w:rPr>
      <w:lang w:val="en-US" w:eastAsia="zh-CN" w:bidi="ar-SA"/>
    </w:rPr>
    <w:tblPr/>
  </w:style>
  <w:style w:type="table" w:styleId="1306">
    <w:name w:val="List Table 7 Colorful - Accent 4"/>
    <w:next w:val="1306"/>
    <w:link w:val="1131"/>
    <w:uiPriority w:val="99"/>
    <w:qFormat/>
    <w:rPr>
      <w:lang w:val="en-US" w:eastAsia="zh-CN" w:bidi="ar-SA"/>
    </w:rPr>
    <w:tblPr/>
  </w:style>
  <w:style w:type="table" w:styleId="1307">
    <w:name w:val="List Table 7 Colorful - Accent 5"/>
    <w:next w:val="1307"/>
    <w:link w:val="1131"/>
    <w:uiPriority w:val="99"/>
    <w:qFormat/>
    <w:rPr>
      <w:lang w:val="en-US" w:eastAsia="zh-CN" w:bidi="ar-SA"/>
    </w:rPr>
    <w:tblPr/>
  </w:style>
  <w:style w:type="table" w:styleId="1308">
    <w:name w:val="List Table 7 Colorful - Accent 6"/>
    <w:next w:val="1308"/>
    <w:link w:val="1131"/>
    <w:uiPriority w:val="99"/>
    <w:qFormat/>
    <w:rPr>
      <w:lang w:val="en-US" w:eastAsia="zh-CN" w:bidi="ar-SA"/>
    </w:rPr>
    <w:tblPr/>
  </w:style>
  <w:style w:type="table" w:styleId="1309">
    <w:name w:val="Lined - Accent"/>
    <w:next w:val="1309"/>
    <w:link w:val="1131"/>
    <w:uiPriority w:val="99"/>
    <w:qFormat/>
    <w:rPr>
      <w:color w:val="404040"/>
      <w:lang w:val="en-US" w:eastAsia="zh-CN" w:bidi="ar-SA"/>
    </w:rPr>
    <w:tblPr/>
  </w:style>
  <w:style w:type="table" w:styleId="1310">
    <w:name w:val="Lined - Accent 1"/>
    <w:next w:val="1310"/>
    <w:link w:val="1131"/>
    <w:uiPriority w:val="99"/>
    <w:qFormat/>
    <w:rPr>
      <w:color w:val="404040"/>
      <w:lang w:val="en-US" w:eastAsia="zh-CN" w:bidi="ar-SA"/>
    </w:rPr>
    <w:tblPr/>
  </w:style>
  <w:style w:type="table" w:styleId="1311">
    <w:name w:val="Lined - Accent 2"/>
    <w:next w:val="1311"/>
    <w:link w:val="1131"/>
    <w:uiPriority w:val="99"/>
    <w:qFormat/>
    <w:rPr>
      <w:color w:val="404040"/>
      <w:lang w:val="en-US" w:eastAsia="zh-CN" w:bidi="ar-SA"/>
    </w:rPr>
    <w:tblPr/>
  </w:style>
  <w:style w:type="table" w:styleId="1312">
    <w:name w:val="Lined - Accent 3"/>
    <w:next w:val="1312"/>
    <w:link w:val="1131"/>
    <w:uiPriority w:val="99"/>
    <w:qFormat/>
    <w:rPr>
      <w:color w:val="404040"/>
      <w:lang w:val="en-US" w:eastAsia="zh-CN" w:bidi="ar-SA"/>
    </w:rPr>
    <w:tblPr/>
  </w:style>
  <w:style w:type="table" w:styleId="1313">
    <w:name w:val="Lined - Accent 4"/>
    <w:next w:val="1313"/>
    <w:link w:val="1131"/>
    <w:uiPriority w:val="99"/>
    <w:qFormat/>
    <w:rPr>
      <w:color w:val="404040"/>
      <w:lang w:val="en-US" w:eastAsia="zh-CN" w:bidi="ar-SA"/>
    </w:rPr>
    <w:tblPr/>
  </w:style>
  <w:style w:type="table" w:styleId="1314">
    <w:name w:val="Lined - Accent 5"/>
    <w:next w:val="1314"/>
    <w:link w:val="1131"/>
    <w:uiPriority w:val="99"/>
    <w:qFormat/>
    <w:rPr>
      <w:color w:val="404040"/>
      <w:lang w:val="en-US" w:eastAsia="zh-CN" w:bidi="ar-SA"/>
    </w:rPr>
    <w:tblPr/>
  </w:style>
  <w:style w:type="table" w:styleId="1315">
    <w:name w:val="Lined - Accent 6"/>
    <w:next w:val="1315"/>
    <w:link w:val="1131"/>
    <w:uiPriority w:val="99"/>
    <w:qFormat/>
    <w:rPr>
      <w:color w:val="404040"/>
      <w:lang w:val="en-US" w:eastAsia="zh-CN" w:bidi="ar-SA"/>
    </w:rPr>
    <w:tblPr/>
  </w:style>
  <w:style w:type="table" w:styleId="1316">
    <w:name w:val="Bordered &amp; Lined - Accent"/>
    <w:next w:val="1316"/>
    <w:link w:val="1131"/>
    <w:uiPriority w:val="99"/>
    <w:qFormat/>
    <w:rPr>
      <w:color w:val="404040"/>
      <w:lang w:val="en-US" w:eastAsia="zh-CN" w:bidi="ar-SA"/>
    </w:rPr>
    <w:tblPr/>
  </w:style>
  <w:style w:type="table" w:styleId="1317">
    <w:name w:val="Bordered &amp; Lined - Accent 1"/>
    <w:next w:val="1317"/>
    <w:link w:val="1131"/>
    <w:uiPriority w:val="99"/>
    <w:qFormat/>
    <w:rPr>
      <w:color w:val="404040"/>
      <w:lang w:val="en-US" w:eastAsia="zh-CN" w:bidi="ar-SA"/>
    </w:rPr>
    <w:tblPr/>
  </w:style>
  <w:style w:type="table" w:styleId="1318">
    <w:name w:val="Bordered &amp; Lined - Accent 2"/>
    <w:next w:val="1318"/>
    <w:link w:val="1131"/>
    <w:uiPriority w:val="99"/>
    <w:qFormat/>
    <w:rPr>
      <w:color w:val="404040"/>
      <w:lang w:val="en-US" w:eastAsia="zh-CN" w:bidi="ar-SA"/>
    </w:rPr>
    <w:tblPr/>
  </w:style>
  <w:style w:type="table" w:styleId="1319">
    <w:name w:val="Bordered &amp; Lined - Accent 3"/>
    <w:next w:val="1319"/>
    <w:link w:val="1131"/>
    <w:uiPriority w:val="99"/>
    <w:qFormat/>
    <w:rPr>
      <w:color w:val="404040"/>
      <w:lang w:val="en-US" w:eastAsia="zh-CN" w:bidi="ar-SA"/>
    </w:rPr>
    <w:tblPr/>
  </w:style>
  <w:style w:type="table" w:styleId="1320">
    <w:name w:val="Bordered &amp; Lined - Accent 4"/>
    <w:next w:val="1320"/>
    <w:link w:val="1131"/>
    <w:uiPriority w:val="99"/>
    <w:qFormat/>
    <w:rPr>
      <w:color w:val="404040"/>
      <w:lang w:val="en-US" w:eastAsia="zh-CN" w:bidi="ar-SA"/>
    </w:rPr>
    <w:tblPr/>
  </w:style>
  <w:style w:type="table" w:styleId="1321">
    <w:name w:val="Bordered &amp; Lined - Accent 5"/>
    <w:next w:val="1321"/>
    <w:link w:val="1131"/>
    <w:uiPriority w:val="99"/>
    <w:qFormat/>
    <w:rPr>
      <w:color w:val="404040"/>
      <w:lang w:val="en-US" w:eastAsia="zh-CN" w:bidi="ar-SA"/>
    </w:rPr>
    <w:tblPr/>
  </w:style>
  <w:style w:type="table" w:styleId="1322">
    <w:name w:val="Bordered &amp; Lined - Accent 6"/>
    <w:next w:val="1322"/>
    <w:link w:val="1131"/>
    <w:uiPriority w:val="99"/>
    <w:qFormat/>
    <w:rPr>
      <w:color w:val="404040"/>
      <w:lang w:val="en-US" w:eastAsia="zh-CN" w:bidi="ar-SA"/>
    </w:rPr>
    <w:tblPr/>
  </w:style>
  <w:style w:type="table" w:styleId="1323">
    <w:name w:val="Bordered"/>
    <w:next w:val="1323"/>
    <w:link w:val="1131"/>
    <w:uiPriority w:val="99"/>
    <w:qFormat/>
    <w:rPr>
      <w:lang w:val="en-US" w:eastAsia="zh-CN" w:bidi="ar-SA"/>
    </w:rPr>
    <w:tblPr/>
  </w:style>
  <w:style w:type="table" w:styleId="1324">
    <w:name w:val="Bordered - Accent 1"/>
    <w:next w:val="1324"/>
    <w:link w:val="1131"/>
    <w:uiPriority w:val="99"/>
    <w:qFormat/>
    <w:rPr>
      <w:lang w:val="en-US" w:eastAsia="zh-CN" w:bidi="ar-SA"/>
    </w:rPr>
    <w:tblPr/>
  </w:style>
  <w:style w:type="table" w:styleId="1325">
    <w:name w:val="Bordered - Accent 2"/>
    <w:next w:val="1325"/>
    <w:link w:val="1131"/>
    <w:uiPriority w:val="99"/>
    <w:qFormat/>
    <w:rPr>
      <w:lang w:val="en-US" w:eastAsia="zh-CN" w:bidi="ar-SA"/>
    </w:rPr>
    <w:tblPr/>
  </w:style>
  <w:style w:type="table" w:styleId="1326">
    <w:name w:val="Bordered - Accent 3"/>
    <w:next w:val="1326"/>
    <w:link w:val="1131"/>
    <w:uiPriority w:val="99"/>
    <w:qFormat/>
    <w:rPr>
      <w:lang w:val="en-US" w:eastAsia="zh-CN" w:bidi="ar-SA"/>
    </w:rPr>
    <w:tblPr/>
  </w:style>
  <w:style w:type="table" w:styleId="1327">
    <w:name w:val="Bordered - Accent 4"/>
    <w:next w:val="1327"/>
    <w:link w:val="1131"/>
    <w:uiPriority w:val="99"/>
    <w:qFormat/>
    <w:rPr>
      <w:lang w:val="en-US" w:eastAsia="zh-CN" w:bidi="ar-SA"/>
    </w:rPr>
    <w:tblPr/>
  </w:style>
  <w:style w:type="table" w:styleId="1328">
    <w:name w:val="Bordered - Accent 5"/>
    <w:next w:val="1328"/>
    <w:link w:val="1131"/>
    <w:uiPriority w:val="99"/>
    <w:qFormat/>
    <w:rPr>
      <w:lang w:val="en-US" w:eastAsia="zh-CN" w:bidi="ar-SA"/>
    </w:rPr>
    <w:tblPr/>
  </w:style>
  <w:style w:type="table" w:styleId="1329">
    <w:name w:val="Bordered - Accent 6"/>
    <w:next w:val="1329"/>
    <w:link w:val="1131"/>
    <w:uiPriority w:val="99"/>
    <w:qFormat/>
    <w:rPr>
      <w:lang w:val="en-US" w:eastAsia="zh-CN" w:bidi="ar-SA"/>
    </w:rPr>
    <w:tblPr/>
  </w:style>
  <w:style w:type="paragraph" w:styleId="1330">
    <w:name w:val="TOC 标题1"/>
    <w:next w:val="1330"/>
    <w:link w:val="1131"/>
    <w:uiPriority w:val="39"/>
    <w:unhideWhenUsed/>
    <w:qFormat/>
    <w:rPr>
      <w:lang w:val="en-US" w:eastAsia="zh-CN" w:bidi="ar-SA"/>
    </w:rPr>
  </w:style>
  <w:style w:type="paragraph" w:styleId="1331">
    <w:name w:val="标题 11"/>
    <w:basedOn w:val="1131"/>
    <w:next w:val="1131"/>
    <w:link w:val="1332"/>
    <w:qFormat/>
    <w:pPr>
      <w:keepNext/>
      <w:outlineLvl w:val="0"/>
    </w:pPr>
    <w:rPr>
      <w:rFonts w:ascii="楷体_GB2312" w:eastAsia="楷体_GB2312"/>
      <w:sz w:val="28"/>
      <w:szCs w:val="20"/>
    </w:rPr>
  </w:style>
  <w:style w:type="character" w:styleId="1332">
    <w:name w:val="标题 1 Char"/>
    <w:next w:val="1332"/>
    <w:link w:val="1331"/>
    <w:qFormat/>
    <w:rPr>
      <w:rFonts w:ascii="楷体_GB2312" w:hAnsi="Times New Roman" w:eastAsia="楷体_GB2312" w:cs="Times New Roman"/>
      <w:sz w:val="28"/>
      <w:szCs w:val="20"/>
    </w:rPr>
  </w:style>
  <w:style w:type="paragraph" w:styleId="1333">
    <w:name w:val="标题 211"/>
    <w:basedOn w:val="1131"/>
    <w:next w:val="1131"/>
    <w:link w:val="1334"/>
    <w:uiPriority w:val="9"/>
    <w:qFormat/>
    <w:pPr>
      <w:jc w:val="center"/>
      <w:keepLines/>
      <w:keepNext/>
      <w:spacing w:before="260" w:after="260" w:line="416" w:lineRule="auto"/>
      <w:outlineLvl w:val="1"/>
    </w:pPr>
    <w:rPr>
      <w:rFonts w:ascii="幼圆" w:hAnsi="Arial" w:eastAsia="楷体_GB2312"/>
      <w:b/>
      <w:sz w:val="24"/>
      <w:szCs w:val="20"/>
    </w:rPr>
  </w:style>
  <w:style w:type="character" w:styleId="1334">
    <w:name w:val="标题 2 Char"/>
    <w:next w:val="1334"/>
    <w:link w:val="1333"/>
    <w:uiPriority w:val="9"/>
    <w:qFormat/>
    <w:rPr>
      <w:rFonts w:ascii="幼圆" w:hAnsi="Arial" w:eastAsia="楷体_GB2312" w:cs="Times New Roman"/>
      <w:b/>
      <w:sz w:val="24"/>
      <w:szCs w:val="20"/>
    </w:rPr>
  </w:style>
  <w:style w:type="paragraph" w:styleId="1335">
    <w:name w:val="正文缩进11"/>
    <w:basedOn w:val="1131"/>
    <w:next w:val="1335"/>
    <w:link w:val="1336"/>
    <w:qFormat/>
    <w:pPr>
      <w:ind w:firstLine="420"/>
    </w:pPr>
    <w:rPr>
      <w:sz w:val="20"/>
      <w:szCs w:val="20"/>
    </w:rPr>
  </w:style>
  <w:style w:type="character" w:styleId="1336">
    <w:name w:val="正文缩进 Char"/>
    <w:next w:val="1336"/>
    <w:link w:val="1335"/>
    <w:qFormat/>
    <w:rPr>
      <w:rFonts w:ascii="Times New Roman" w:hAnsi="Times New Roman" w:eastAsia="宋体" w:cs="Times New Roman"/>
      <w:sz w:val="20"/>
      <w:szCs w:val="20"/>
    </w:rPr>
  </w:style>
  <w:style w:type="paragraph" w:styleId="1337">
    <w:name w:val="标题 31"/>
    <w:basedOn w:val="1131"/>
    <w:next w:val="1339"/>
    <w:link w:val="1338"/>
    <w:qFormat/>
    <w:pPr>
      <w:keepLines/>
      <w:keepNext/>
      <w:spacing w:before="260" w:after="260" w:line="416" w:lineRule="auto"/>
      <w:outlineLvl w:val="2"/>
    </w:pPr>
    <w:rPr>
      <w:b/>
      <w:sz w:val="20"/>
      <w:szCs w:val="20"/>
    </w:rPr>
  </w:style>
  <w:style w:type="character" w:styleId="1338">
    <w:name w:val="标题 3 Char"/>
    <w:next w:val="1338"/>
    <w:link w:val="1337"/>
    <w:qFormat/>
    <w:rPr>
      <w:rFonts w:ascii="Times New Roman" w:hAnsi="Times New Roman" w:eastAsia="宋体" w:cs="Times New Roman"/>
      <w:b/>
      <w:sz w:val="20"/>
      <w:szCs w:val="20"/>
    </w:rPr>
  </w:style>
  <w:style w:type="paragraph" w:styleId="1339">
    <w:name w:val="正文缩进111"/>
    <w:basedOn w:val="1131"/>
    <w:next w:val="1339"/>
    <w:link w:val="1131"/>
    <w:unhideWhenUsed/>
    <w:qFormat/>
    <w:pPr>
      <w:ind w:firstLine="420"/>
    </w:pPr>
  </w:style>
  <w:style w:type="paragraph" w:styleId="1340">
    <w:name w:val="标题 41"/>
    <w:basedOn w:val="1131"/>
    <w:next w:val="1131"/>
    <w:link w:val="1341"/>
    <w:qFormat/>
    <w:pPr>
      <w:keepLines/>
      <w:keepNext/>
      <w:spacing w:before="280" w:after="290" w:line="376" w:lineRule="auto"/>
      <w:outlineLvl w:val="3"/>
    </w:pPr>
    <w:rPr>
      <w:rFonts w:ascii="Arial" w:hAnsi="Arial" w:eastAsia="黑体"/>
      <w:b/>
      <w:bCs/>
      <w:sz w:val="28"/>
      <w:szCs w:val="28"/>
    </w:rPr>
  </w:style>
  <w:style w:type="character" w:styleId="1341">
    <w:name w:val="标题 4 Char"/>
    <w:next w:val="1341"/>
    <w:link w:val="1340"/>
    <w:qFormat/>
    <w:rPr>
      <w:rFonts w:ascii="Arial" w:hAnsi="Arial" w:eastAsia="黑体" w:cs="Times New Roman"/>
      <w:b/>
      <w:bCs/>
      <w:sz w:val="28"/>
      <w:szCs w:val="28"/>
    </w:rPr>
  </w:style>
  <w:style w:type="paragraph" w:styleId="1342">
    <w:name w:val="标题 51"/>
    <w:basedOn w:val="1131"/>
    <w:next w:val="1335"/>
    <w:link w:val="1343"/>
    <w:qFormat/>
    <w:pPr>
      <w:numPr>
        <w:ilvl w:val="4"/>
        <w:numId w:val="1"/>
      </w:numPr>
      <w:keepLines/>
      <w:keepNext/>
      <w:spacing w:before="280" w:after="290" w:line="376" w:lineRule="auto"/>
      <w:tabs>
        <w:tab w:val="left" w:pos="1008" w:leader="none"/>
      </w:tabs>
      <w:outlineLvl w:val="4"/>
    </w:pPr>
    <w:rPr>
      <w:rFonts w:ascii="宋体"/>
      <w:b/>
      <w:spacing w:val="-2"/>
      <w:position w:val="-6"/>
      <w:sz w:val="28"/>
      <w:szCs w:val="20"/>
    </w:rPr>
  </w:style>
  <w:style w:type="character" w:styleId="1343">
    <w:name w:val="标题 5 Char"/>
    <w:next w:val="1343"/>
    <w:link w:val="1342"/>
    <w:qFormat/>
    <w:rPr>
      <w:rFonts w:ascii="宋体" w:hAnsi="Times New Roman"/>
      <w:b/>
      <w:spacing w:val="-2"/>
      <w:position w:val="-6"/>
      <w:sz w:val="28"/>
    </w:rPr>
  </w:style>
  <w:style w:type="paragraph" w:styleId="1344">
    <w:name w:val="标题 61"/>
    <w:basedOn w:val="1131"/>
    <w:next w:val="1335"/>
    <w:link w:val="1345"/>
    <w:qFormat/>
    <w:pPr>
      <w:numPr>
        <w:ilvl w:val="5"/>
        <w:numId w:val="1"/>
      </w:numPr>
      <w:keepLines/>
      <w:keepNext/>
      <w:spacing w:before="240" w:after="64" w:line="320" w:lineRule="auto"/>
      <w:tabs>
        <w:tab w:val="left" w:pos="1152" w:leader="none"/>
      </w:tabs>
      <w:outlineLvl w:val="5"/>
    </w:pPr>
    <w:rPr>
      <w:rFonts w:ascii="Arial" w:hAnsi="Arial" w:eastAsia="黑体"/>
      <w:b/>
      <w:spacing w:val="-2"/>
      <w:position w:val="-6"/>
      <w:sz w:val="24"/>
      <w:szCs w:val="20"/>
    </w:rPr>
  </w:style>
  <w:style w:type="character" w:styleId="1345">
    <w:name w:val="标题 6 Char"/>
    <w:next w:val="1345"/>
    <w:link w:val="1344"/>
    <w:qFormat/>
    <w:rPr>
      <w:rFonts w:ascii="Arial" w:hAnsi="Arial" w:eastAsia="黑体"/>
      <w:b/>
      <w:spacing w:val="-2"/>
      <w:position w:val="-6"/>
      <w:sz w:val="24"/>
    </w:rPr>
  </w:style>
  <w:style w:type="paragraph" w:styleId="1346">
    <w:name w:val="标题 71"/>
    <w:basedOn w:val="1131"/>
    <w:next w:val="1335"/>
    <w:link w:val="1347"/>
    <w:qFormat/>
    <w:pPr>
      <w:numPr>
        <w:ilvl w:val="6"/>
        <w:numId w:val="1"/>
      </w:numPr>
      <w:keepLines/>
      <w:keepNext/>
      <w:spacing w:before="240" w:after="64" w:line="320" w:lineRule="auto"/>
      <w:tabs>
        <w:tab w:val="left" w:pos="1296" w:leader="none"/>
      </w:tabs>
      <w:outlineLvl w:val="6"/>
    </w:pPr>
    <w:rPr>
      <w:rFonts w:ascii="宋体"/>
      <w:b/>
      <w:spacing w:val="-2"/>
      <w:position w:val="-6"/>
      <w:sz w:val="24"/>
      <w:szCs w:val="20"/>
    </w:rPr>
  </w:style>
  <w:style w:type="character" w:styleId="1347">
    <w:name w:val="标题 7 Char"/>
    <w:next w:val="1347"/>
    <w:link w:val="1346"/>
    <w:qFormat/>
    <w:rPr>
      <w:rFonts w:ascii="宋体" w:hAnsi="Times New Roman"/>
      <w:b/>
      <w:spacing w:val="-2"/>
      <w:position w:val="-6"/>
      <w:sz w:val="24"/>
    </w:rPr>
  </w:style>
  <w:style w:type="paragraph" w:styleId="1348">
    <w:name w:val="标题 81"/>
    <w:basedOn w:val="1131"/>
    <w:next w:val="1335"/>
    <w:link w:val="1349"/>
    <w:qFormat/>
    <w:pPr>
      <w:numPr>
        <w:ilvl w:val="7"/>
        <w:numId w:val="1"/>
      </w:numPr>
      <w:keepLines/>
      <w:keepNext/>
      <w:spacing w:before="240" w:after="64" w:line="320" w:lineRule="auto"/>
      <w:tabs>
        <w:tab w:val="left" w:pos="1440" w:leader="none"/>
      </w:tabs>
      <w:outlineLvl w:val="7"/>
    </w:pPr>
    <w:rPr>
      <w:rFonts w:ascii="Arial" w:hAnsi="Arial" w:eastAsia="黑体"/>
      <w:spacing w:val="-2"/>
      <w:position w:val="-6"/>
      <w:sz w:val="24"/>
      <w:szCs w:val="20"/>
    </w:rPr>
  </w:style>
  <w:style w:type="character" w:styleId="1349">
    <w:name w:val="标题 8 Char"/>
    <w:next w:val="1349"/>
    <w:link w:val="1348"/>
    <w:qFormat/>
    <w:rPr>
      <w:rFonts w:ascii="Arial" w:hAnsi="Arial" w:eastAsia="黑体"/>
      <w:spacing w:val="-2"/>
      <w:position w:val="-6"/>
      <w:sz w:val="24"/>
    </w:rPr>
  </w:style>
  <w:style w:type="paragraph" w:styleId="1350">
    <w:name w:val="标题 91"/>
    <w:basedOn w:val="1131"/>
    <w:next w:val="1335"/>
    <w:link w:val="1351"/>
    <w:qFormat/>
    <w:pPr>
      <w:numPr>
        <w:ilvl w:val="8"/>
        <w:numId w:val="1"/>
      </w:numPr>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1351">
    <w:name w:val="标题 9 Char"/>
    <w:next w:val="1351"/>
    <w:link w:val="1350"/>
    <w:qFormat/>
    <w:rPr>
      <w:rFonts w:ascii="Arial" w:hAnsi="Arial" w:eastAsia="黑体"/>
      <w:spacing w:val="-2"/>
      <w:position w:val="-6"/>
      <w:sz w:val="28"/>
    </w:rPr>
  </w:style>
  <w:style w:type="character" w:styleId="1352">
    <w:name w:val="默认段落字体1"/>
    <w:next w:val="1352"/>
    <w:link w:val="1131"/>
    <w:uiPriority w:val="1"/>
    <w:unhideWhenUsed/>
    <w:qFormat/>
  </w:style>
  <w:style w:type="table" w:styleId="1353">
    <w:name w:val="普通表格1"/>
    <w:next w:val="1353"/>
    <w:link w:val="1131"/>
    <w:uiPriority w:val="99"/>
    <w:unhideWhenUsed/>
    <w:qFormat/>
    <w:rPr>
      <w:lang w:val="en-US" w:eastAsia="zh-CN" w:bidi="ar-SA"/>
    </w:rPr>
    <w:tblPr/>
  </w:style>
  <w:style w:type="paragraph" w:styleId="1354">
    <w:name w:val="宏文本1"/>
    <w:next w:val="1354"/>
    <w:link w:val="1355"/>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lang w:val="en-US" w:eastAsia="zh-CN" w:bidi="ar-SA"/>
    </w:rPr>
  </w:style>
  <w:style w:type="character" w:styleId="1355">
    <w:name w:val="宏文本 Char"/>
    <w:next w:val="1355"/>
    <w:link w:val="1354"/>
    <w:semiHidden/>
    <w:qFormat/>
    <w:rPr>
      <w:rFonts w:ascii="Courier New" w:hAnsi="Courier New" w:cs="Courier New"/>
      <w:sz w:val="24"/>
      <w:szCs w:val="24"/>
      <w:lang w:val="en-US" w:eastAsia="zh-CN" w:bidi="ar-SA"/>
    </w:rPr>
  </w:style>
  <w:style w:type="paragraph" w:styleId="1356">
    <w:name w:val="列表 31"/>
    <w:basedOn w:val="1131"/>
    <w:next w:val="1356"/>
    <w:link w:val="1131"/>
    <w:qFormat/>
    <w:pPr>
      <w:ind w:left="100" w:hanging="200"/>
    </w:pPr>
    <w:rPr>
      <w:rFonts w:ascii="Times New Roman" w:hAnsi="Times New Roman"/>
      <w:szCs w:val="20"/>
    </w:rPr>
  </w:style>
  <w:style w:type="paragraph" w:styleId="1357">
    <w:name w:val="目录 71"/>
    <w:basedOn w:val="1131"/>
    <w:next w:val="1131"/>
    <w:link w:val="1131"/>
    <w:semiHidden/>
    <w:qFormat/>
    <w:pPr>
      <w:ind w:left="2520"/>
    </w:pPr>
    <w:rPr>
      <w:rFonts w:ascii="Times New Roman" w:hAnsi="Times New Roman"/>
      <w:szCs w:val="24"/>
    </w:rPr>
  </w:style>
  <w:style w:type="paragraph" w:styleId="1358">
    <w:name w:val="列表编号 21"/>
    <w:basedOn w:val="1131"/>
    <w:next w:val="1358"/>
    <w:link w:val="1131"/>
    <w:qFormat/>
    <w:pPr>
      <w:numPr>
        <w:ilvl w:val="0"/>
        <w:numId w:val="2"/>
      </w:numPr>
      <w:tabs>
        <w:tab w:val="left" w:pos="780" w:leader="none"/>
      </w:tabs>
    </w:pPr>
    <w:rPr>
      <w:rFonts w:ascii="Times New Roman" w:hAnsi="Times New Roman"/>
      <w:szCs w:val="24"/>
    </w:rPr>
  </w:style>
  <w:style w:type="paragraph" w:styleId="1359">
    <w:name w:val="注释标题1"/>
    <w:basedOn w:val="1131"/>
    <w:next w:val="1131"/>
    <w:link w:val="1360"/>
    <w:qFormat/>
    <w:pPr>
      <w:jc w:val="center"/>
    </w:pPr>
    <w:rPr>
      <w:szCs w:val="20"/>
    </w:rPr>
  </w:style>
  <w:style w:type="character" w:styleId="1360">
    <w:name w:val="注释标题 Char"/>
    <w:next w:val="1360"/>
    <w:link w:val="1359"/>
    <w:qFormat/>
    <w:rPr>
      <w:rFonts w:ascii="Times New Roman" w:hAnsi="Times New Roman"/>
      <w:sz w:val="21"/>
    </w:rPr>
  </w:style>
  <w:style w:type="paragraph" w:styleId="1361">
    <w:name w:val="列表项目符号 41"/>
    <w:basedOn w:val="1131"/>
    <w:next w:val="1361"/>
    <w:link w:val="1131"/>
    <w:qFormat/>
    <w:pPr>
      <w:numPr>
        <w:ilvl w:val="0"/>
        <w:numId w:val="3"/>
      </w:numPr>
      <w:ind w:left="1620"/>
      <w:tabs>
        <w:tab w:val="left" w:pos="780" w:leader="none"/>
        <w:tab w:val="left" w:pos="1620" w:leader="none"/>
      </w:tabs>
    </w:pPr>
    <w:rPr>
      <w:rFonts w:ascii="Times New Roman" w:hAnsi="Times New Roman"/>
      <w:szCs w:val="20"/>
    </w:rPr>
  </w:style>
  <w:style w:type="paragraph" w:styleId="1362">
    <w:name w:val="电子邮件签名1"/>
    <w:basedOn w:val="1131"/>
    <w:next w:val="1362"/>
    <w:link w:val="1363"/>
    <w:qFormat/>
    <w:rPr>
      <w:szCs w:val="20"/>
    </w:rPr>
  </w:style>
  <w:style w:type="character" w:styleId="1363">
    <w:name w:val="电子邮件签名 Char"/>
    <w:next w:val="1363"/>
    <w:link w:val="1362"/>
    <w:qFormat/>
    <w:rPr>
      <w:rFonts w:ascii="Times New Roman" w:hAnsi="Times New Roman"/>
      <w:sz w:val="21"/>
    </w:rPr>
  </w:style>
  <w:style w:type="paragraph" w:styleId="1364">
    <w:name w:val="列表编号1"/>
    <w:basedOn w:val="1365"/>
    <w:next w:val="1364"/>
    <w:link w:val="1131"/>
    <w:qFormat/>
    <w:pPr>
      <w:ind w:left="720" w:right="720" w:hanging="360"/>
      <w:spacing w:before="120" w:after="240" w:line="240" w:lineRule="atLeast"/>
      <w:widowControl/>
    </w:pPr>
    <w:rPr>
      <w:rFonts w:ascii="宋体" w:hAnsi="Garamond"/>
      <w:spacing w:val="-5"/>
      <w:sz w:val="24"/>
      <w:szCs w:val="20"/>
    </w:rPr>
  </w:style>
  <w:style w:type="paragraph" w:styleId="1365">
    <w:name w:val="列表1"/>
    <w:basedOn w:val="1131"/>
    <w:next w:val="1365"/>
    <w:link w:val="1131"/>
    <w:qFormat/>
    <w:pPr>
      <w:ind w:left="200" w:hanging="200"/>
    </w:pPr>
    <w:rPr>
      <w:rFonts w:ascii="Times New Roman" w:hAnsi="Times New Roman"/>
      <w:szCs w:val="24"/>
    </w:rPr>
  </w:style>
  <w:style w:type="paragraph" w:styleId="1366">
    <w:name w:val="题注1"/>
    <w:basedOn w:val="1131"/>
    <w:next w:val="1131"/>
    <w:link w:val="1131"/>
    <w:qFormat/>
    <w:rPr>
      <w:rFonts w:ascii="Arial" w:hAnsi="Arial" w:eastAsia="黑体" w:cs="Arial"/>
      <w:sz w:val="20"/>
      <w:szCs w:val="20"/>
    </w:rPr>
  </w:style>
  <w:style w:type="paragraph" w:styleId="1367">
    <w:name w:val="列表项目符号1"/>
    <w:basedOn w:val="1131"/>
    <w:next w:val="1367"/>
    <w:link w:val="1131"/>
    <w:qFormat/>
    <w:pPr>
      <w:ind w:left="360" w:hanging="360"/>
      <w:tabs>
        <w:tab w:val="left" w:pos="360" w:leader="none"/>
      </w:tabs>
    </w:pPr>
    <w:rPr>
      <w:rFonts w:ascii="Times New Roman" w:hAnsi="Times New Roman"/>
      <w:szCs w:val="20"/>
    </w:rPr>
  </w:style>
  <w:style w:type="paragraph" w:styleId="1368">
    <w:name w:val="收信人地址1"/>
    <w:basedOn w:val="1131"/>
    <w:next w:val="1368"/>
    <w:link w:val="1131"/>
    <w:qFormat/>
    <w:pPr>
      <w:ind w:left="100"/>
    </w:pPr>
    <w:rPr>
      <w:rFonts w:ascii="Arial" w:hAnsi="Arial" w:cs="Arial"/>
      <w:sz w:val="24"/>
      <w:szCs w:val="24"/>
    </w:rPr>
  </w:style>
  <w:style w:type="paragraph" w:styleId="1369">
    <w:name w:val="文档结构图1"/>
    <w:basedOn w:val="1131"/>
    <w:next w:val="1369"/>
    <w:link w:val="1370"/>
    <w:qFormat/>
    <w:pPr>
      <w:shd w:val="clear" w:color="auto" w:fill="000080"/>
    </w:pPr>
    <w:rPr>
      <w:sz w:val="20"/>
      <w:szCs w:val="24"/>
    </w:rPr>
  </w:style>
  <w:style w:type="character" w:styleId="1370">
    <w:name w:val="文档结构图 Char"/>
    <w:next w:val="1370"/>
    <w:link w:val="1369"/>
    <w:qFormat/>
    <w:rPr>
      <w:rFonts w:ascii="Times New Roman" w:hAnsi="Times New Roman" w:eastAsia="宋体" w:cs="Times New Roman"/>
      <w:sz w:val="20"/>
      <w:szCs w:val="24"/>
      <w:shd w:val="clear" w:color="auto" w:fill="000080"/>
    </w:rPr>
  </w:style>
  <w:style w:type="paragraph" w:styleId="1371">
    <w:name w:val="批注文字1"/>
    <w:basedOn w:val="1131"/>
    <w:next w:val="1371"/>
    <w:link w:val="1372"/>
    <w:qFormat/>
    <w:pPr>
      <w:jc w:val="left"/>
    </w:pPr>
    <w:rPr>
      <w:sz w:val="20"/>
      <w:szCs w:val="20"/>
    </w:rPr>
  </w:style>
  <w:style w:type="character" w:styleId="1372">
    <w:name w:val="批注文字 Char"/>
    <w:next w:val="1372"/>
    <w:link w:val="1371"/>
    <w:qFormat/>
    <w:rPr>
      <w:rFonts w:ascii="Times New Roman" w:hAnsi="Times New Roman" w:eastAsia="宋体" w:cs="Times New Roman"/>
      <w:szCs w:val="20"/>
    </w:rPr>
  </w:style>
  <w:style w:type="paragraph" w:styleId="1373">
    <w:name w:val="称呼1"/>
    <w:basedOn w:val="1131"/>
    <w:next w:val="1131"/>
    <w:link w:val="1374"/>
    <w:qFormat/>
    <w:rPr>
      <w:szCs w:val="20"/>
    </w:rPr>
  </w:style>
  <w:style w:type="character" w:styleId="1374">
    <w:name w:val="称呼 Char"/>
    <w:next w:val="1374"/>
    <w:link w:val="1373"/>
    <w:qFormat/>
    <w:rPr>
      <w:rFonts w:ascii="Times New Roman" w:hAnsi="Times New Roman"/>
      <w:sz w:val="21"/>
    </w:rPr>
  </w:style>
  <w:style w:type="paragraph" w:styleId="1375">
    <w:name w:val="正文文本 31"/>
    <w:basedOn w:val="1131"/>
    <w:next w:val="1375"/>
    <w:link w:val="1376"/>
    <w:qFormat/>
    <w:rPr>
      <w:rFonts w:ascii="仿宋_GB2312" w:hAnsi="Arial" w:eastAsia="仿宋_GB2312"/>
      <w:sz w:val="32"/>
      <w:szCs w:val="20"/>
    </w:rPr>
  </w:style>
  <w:style w:type="character" w:styleId="1376">
    <w:name w:val="正文文本 3 Char"/>
    <w:next w:val="1376"/>
    <w:link w:val="1375"/>
    <w:qFormat/>
    <w:rPr>
      <w:rFonts w:ascii="仿宋_GB2312" w:hAnsi="Arial" w:eastAsia="仿宋_GB2312" w:cs="Times New Roman"/>
      <w:sz w:val="32"/>
      <w:szCs w:val="20"/>
    </w:rPr>
  </w:style>
  <w:style w:type="paragraph" w:styleId="1377">
    <w:name w:val="结束语1"/>
    <w:basedOn w:val="1131"/>
    <w:next w:val="1377"/>
    <w:link w:val="1378"/>
    <w:qFormat/>
    <w:pPr>
      <w:ind w:left="100"/>
    </w:pPr>
    <w:rPr>
      <w:szCs w:val="20"/>
    </w:rPr>
  </w:style>
  <w:style w:type="character" w:styleId="1378">
    <w:name w:val="结束语 Char"/>
    <w:next w:val="1378"/>
    <w:link w:val="1377"/>
    <w:qFormat/>
    <w:rPr>
      <w:rFonts w:ascii="Times New Roman" w:hAnsi="Times New Roman"/>
      <w:sz w:val="21"/>
    </w:rPr>
  </w:style>
  <w:style w:type="paragraph" w:styleId="1379">
    <w:name w:val="列表项目符号 31"/>
    <w:basedOn w:val="1131"/>
    <w:next w:val="1379"/>
    <w:link w:val="1131"/>
    <w:qFormat/>
    <w:pPr>
      <w:spacing w:line="480" w:lineRule="exact"/>
    </w:pPr>
    <w:rPr>
      <w:rFonts w:ascii="宋体" w:hAnsi="宋体"/>
      <w:color w:val="0000ff"/>
      <w:szCs w:val="20"/>
    </w:rPr>
  </w:style>
  <w:style w:type="paragraph" w:styleId="1380">
    <w:name w:val="正文文本11"/>
    <w:basedOn w:val="1131"/>
    <w:next w:val="1131"/>
    <w:link w:val="1381"/>
    <w:qFormat/>
    <w:rPr>
      <w:rFonts w:ascii="楷体_GB2312" w:hAnsi="Arial" w:eastAsia="楷体_GB2312"/>
      <w:sz w:val="28"/>
      <w:szCs w:val="20"/>
    </w:rPr>
  </w:style>
  <w:style w:type="character" w:styleId="1381">
    <w:name w:val="正文文本 Char"/>
    <w:next w:val="1381"/>
    <w:link w:val="1380"/>
    <w:qFormat/>
    <w:rPr>
      <w:rFonts w:ascii="楷体_GB2312" w:hAnsi="Arial" w:eastAsia="楷体_GB2312" w:cs="Times New Roman"/>
      <w:sz w:val="28"/>
      <w:szCs w:val="20"/>
    </w:rPr>
  </w:style>
  <w:style w:type="paragraph" w:styleId="1382">
    <w:name w:val="正文文本缩进1"/>
    <w:basedOn w:val="1131"/>
    <w:next w:val="1382"/>
    <w:link w:val="1383"/>
    <w:qFormat/>
    <w:pPr>
      <w:ind w:firstLine="645"/>
    </w:pPr>
    <w:rPr>
      <w:rFonts w:ascii="楷体_GB2312" w:eastAsia="楷体_GB2312"/>
      <w:sz w:val="32"/>
      <w:szCs w:val="20"/>
    </w:rPr>
  </w:style>
  <w:style w:type="character" w:styleId="1383">
    <w:name w:val="正文文本缩进 Char"/>
    <w:next w:val="1383"/>
    <w:link w:val="1382"/>
    <w:qFormat/>
    <w:rPr>
      <w:rFonts w:ascii="楷体_GB2312" w:hAnsi="Times New Roman" w:eastAsia="楷体_GB2312" w:cs="Times New Roman"/>
      <w:sz w:val="32"/>
      <w:szCs w:val="20"/>
    </w:rPr>
  </w:style>
  <w:style w:type="paragraph" w:styleId="1384">
    <w:name w:val="列表编号 31"/>
    <w:basedOn w:val="1131"/>
    <w:next w:val="1384"/>
    <w:link w:val="1131"/>
    <w:qFormat/>
    <w:pPr>
      <w:numPr>
        <w:ilvl w:val="0"/>
        <w:numId w:val="4"/>
      </w:numPr>
      <w:ind w:left="1200"/>
      <w:tabs>
        <w:tab w:val="left" w:pos="360" w:leader="none"/>
        <w:tab w:val="left" w:pos="1200" w:leader="none"/>
      </w:tabs>
    </w:pPr>
    <w:rPr>
      <w:rFonts w:ascii="Times New Roman" w:hAnsi="Times New Roman"/>
      <w:szCs w:val="20"/>
    </w:rPr>
  </w:style>
  <w:style w:type="paragraph" w:styleId="1385">
    <w:name w:val="列表 21"/>
    <w:basedOn w:val="1131"/>
    <w:next w:val="1385"/>
    <w:link w:val="1131"/>
    <w:qFormat/>
    <w:pPr>
      <w:ind w:left="100" w:hanging="200"/>
    </w:pPr>
    <w:rPr>
      <w:rFonts w:ascii="Times New Roman" w:hAnsi="Times New Roman"/>
      <w:szCs w:val="20"/>
    </w:rPr>
  </w:style>
  <w:style w:type="paragraph" w:styleId="1386">
    <w:name w:val="列表接续1"/>
    <w:basedOn w:val="1131"/>
    <w:next w:val="1386"/>
    <w:link w:val="1131"/>
    <w:qFormat/>
    <w:pPr>
      <w:numPr>
        <w:ilvl w:val="0"/>
        <w:numId w:val="5"/>
      </w:numPr>
      <w:ind w:left="420" w:firstLine="0"/>
      <w:spacing w:after="120"/>
      <w:tabs>
        <w:tab w:val="left" w:pos="1620" w:leader="none"/>
      </w:tabs>
    </w:pPr>
    <w:rPr>
      <w:rFonts w:ascii="Times New Roman" w:hAnsi="Times New Roman"/>
      <w:szCs w:val="20"/>
    </w:rPr>
  </w:style>
  <w:style w:type="paragraph" w:styleId="1387">
    <w:name w:val="文本块1"/>
    <w:basedOn w:val="1131"/>
    <w:next w:val="1387"/>
    <w:link w:val="1131"/>
    <w:qFormat/>
    <w:pPr>
      <w:ind w:left="630" w:right="630"/>
      <w:jc w:val="center"/>
    </w:pPr>
    <w:rPr>
      <w:rFonts w:ascii="宋体" w:hAnsi="Times New Roman"/>
      <w:b/>
      <w:sz w:val="32"/>
      <w:szCs w:val="24"/>
    </w:rPr>
  </w:style>
  <w:style w:type="paragraph" w:styleId="1388">
    <w:name w:val="列表项目符号 21"/>
    <w:basedOn w:val="1131"/>
    <w:next w:val="1388"/>
    <w:link w:val="1131"/>
    <w:qFormat/>
    <w:pPr>
      <w:ind w:left="780" w:hanging="360"/>
      <w:tabs>
        <w:tab w:val="left" w:pos="780" w:leader="none"/>
      </w:tabs>
    </w:pPr>
    <w:rPr>
      <w:rFonts w:ascii="Times New Roman" w:hAnsi="Times New Roman"/>
      <w:szCs w:val="20"/>
    </w:rPr>
  </w:style>
  <w:style w:type="paragraph" w:styleId="1389">
    <w:name w:val="HTML 地址1"/>
    <w:basedOn w:val="1131"/>
    <w:next w:val="1389"/>
    <w:link w:val="1390"/>
    <w:qFormat/>
    <w:rPr>
      <w:i/>
      <w:iCs/>
      <w:szCs w:val="20"/>
    </w:rPr>
  </w:style>
  <w:style w:type="character" w:styleId="1390">
    <w:name w:val="HTML 地址 Char"/>
    <w:next w:val="1390"/>
    <w:link w:val="1389"/>
    <w:qFormat/>
    <w:rPr>
      <w:rFonts w:ascii="Times New Roman" w:hAnsi="Times New Roman"/>
      <w:i/>
      <w:iCs/>
      <w:sz w:val="21"/>
    </w:rPr>
  </w:style>
  <w:style w:type="paragraph" w:styleId="1391">
    <w:name w:val="目录 51"/>
    <w:basedOn w:val="1131"/>
    <w:next w:val="1131"/>
    <w:link w:val="1131"/>
    <w:semiHidden/>
    <w:qFormat/>
    <w:pPr>
      <w:ind w:left="1680"/>
    </w:pPr>
    <w:rPr>
      <w:rFonts w:ascii="Times New Roman" w:hAnsi="Times New Roman"/>
      <w:szCs w:val="24"/>
    </w:rPr>
  </w:style>
  <w:style w:type="paragraph" w:styleId="1392">
    <w:name w:val="目录 31"/>
    <w:basedOn w:val="1131"/>
    <w:next w:val="1131"/>
    <w:link w:val="1131"/>
    <w:uiPriority w:val="39"/>
    <w:qFormat/>
    <w:pPr>
      <w:ind w:left="420"/>
      <w:jc w:val="left"/>
    </w:pPr>
    <w:rPr>
      <w:rFonts w:ascii="Times New Roman" w:hAnsi="Times New Roman"/>
      <w:i/>
      <w:iCs/>
      <w:szCs w:val="24"/>
    </w:rPr>
  </w:style>
  <w:style w:type="paragraph" w:styleId="1393">
    <w:name w:val="纯文本1"/>
    <w:basedOn w:val="1131"/>
    <w:next w:val="1393"/>
    <w:link w:val="1394"/>
    <w:qFormat/>
    <w:rPr>
      <w:rFonts w:ascii="宋体" w:hAnsi="Courier New"/>
      <w:sz w:val="20"/>
      <w:szCs w:val="21"/>
    </w:rPr>
  </w:style>
  <w:style w:type="character" w:styleId="1394">
    <w:name w:val="纯文本 Char"/>
    <w:next w:val="1394"/>
    <w:link w:val="1393"/>
    <w:qFormat/>
    <w:rPr>
      <w:rFonts w:ascii="宋体" w:hAnsi="Courier New" w:eastAsia="宋体" w:cs="Times New Roman"/>
      <w:sz w:val="20"/>
      <w:szCs w:val="21"/>
    </w:rPr>
  </w:style>
  <w:style w:type="paragraph" w:styleId="1395">
    <w:name w:val="列表项目符号 51"/>
    <w:basedOn w:val="1131"/>
    <w:next w:val="1395"/>
    <w:link w:val="1131"/>
    <w:qFormat/>
    <w:pPr>
      <w:spacing w:line="312" w:lineRule="atLeast"/>
    </w:pPr>
    <w:rPr>
      <w:rFonts w:ascii="Times New Roman" w:hAnsi="Times New Roman"/>
      <w:szCs w:val="20"/>
    </w:rPr>
  </w:style>
  <w:style w:type="paragraph" w:styleId="1396">
    <w:name w:val="列表编号 41"/>
    <w:basedOn w:val="1131"/>
    <w:next w:val="1396"/>
    <w:link w:val="1131"/>
    <w:qFormat/>
    <w:pPr>
      <w:ind w:left="1620" w:hanging="360"/>
      <w:tabs>
        <w:tab w:val="left" w:pos="1620" w:leader="none"/>
      </w:tabs>
    </w:pPr>
    <w:rPr>
      <w:rFonts w:ascii="Times New Roman" w:hAnsi="Times New Roman"/>
      <w:szCs w:val="20"/>
    </w:rPr>
  </w:style>
  <w:style w:type="paragraph" w:styleId="1397">
    <w:name w:val="目录 81"/>
    <w:basedOn w:val="1131"/>
    <w:next w:val="1131"/>
    <w:link w:val="1131"/>
    <w:semiHidden/>
    <w:qFormat/>
    <w:pPr>
      <w:ind w:left="2940"/>
    </w:pPr>
    <w:rPr>
      <w:rFonts w:ascii="Times New Roman" w:hAnsi="Times New Roman"/>
      <w:szCs w:val="24"/>
    </w:rPr>
  </w:style>
  <w:style w:type="paragraph" w:styleId="1398">
    <w:name w:val="日期11"/>
    <w:basedOn w:val="1131"/>
    <w:next w:val="1131"/>
    <w:link w:val="1399"/>
    <w:qFormat/>
    <w:pPr>
      <w:ind w:left="100"/>
    </w:pPr>
    <w:rPr>
      <w:rFonts w:ascii="仿宋_GB2312" w:eastAsia="仿宋_GB2312"/>
      <w:b/>
      <w:sz w:val="36"/>
      <w:szCs w:val="24"/>
    </w:rPr>
  </w:style>
  <w:style w:type="character" w:styleId="1399">
    <w:name w:val="日期 Char"/>
    <w:next w:val="1399"/>
    <w:link w:val="1398"/>
    <w:qFormat/>
    <w:rPr>
      <w:rFonts w:ascii="仿宋_GB2312" w:hAnsi="Times New Roman" w:eastAsia="仿宋_GB2312" w:cs="Times New Roman"/>
      <w:b/>
      <w:sz w:val="36"/>
      <w:szCs w:val="24"/>
    </w:rPr>
  </w:style>
  <w:style w:type="paragraph" w:styleId="1400">
    <w:name w:val="正文文本缩进 21"/>
    <w:basedOn w:val="1131"/>
    <w:next w:val="1400"/>
    <w:link w:val="1401"/>
    <w:qFormat/>
    <w:pPr>
      <w:ind w:firstLine="560"/>
      <w:spacing w:line="520" w:lineRule="exact"/>
    </w:pPr>
    <w:rPr>
      <w:rFonts w:ascii="楷体_GB2312" w:eastAsia="楷体_GB2312"/>
      <w:sz w:val="28"/>
      <w:szCs w:val="28"/>
    </w:rPr>
  </w:style>
  <w:style w:type="character" w:styleId="1401">
    <w:name w:val="正文文本缩进 2 Char"/>
    <w:next w:val="1401"/>
    <w:link w:val="1400"/>
    <w:qFormat/>
    <w:rPr>
      <w:rFonts w:ascii="楷体_GB2312" w:hAnsi="Times New Roman" w:eastAsia="楷体_GB2312" w:cs="Times New Roman"/>
      <w:sz w:val="28"/>
      <w:szCs w:val="28"/>
    </w:rPr>
  </w:style>
  <w:style w:type="paragraph" w:styleId="1402">
    <w:name w:val="尾注文本1"/>
    <w:basedOn w:val="1131"/>
    <w:next w:val="1402"/>
    <w:link w:val="1403"/>
    <w:semiHidden/>
    <w:qFormat/>
    <w:pPr>
      <w:jc w:val="left"/>
    </w:pPr>
  </w:style>
  <w:style w:type="character" w:styleId="1403">
    <w:name w:val="尾注文本 Char"/>
    <w:next w:val="1403"/>
    <w:link w:val="1402"/>
    <w:semiHidden/>
    <w:qFormat/>
    <w:rPr>
      <w:rFonts w:ascii="Times New Roman" w:hAnsi="Times New Roman" w:cs="黑体"/>
      <w:sz w:val="21"/>
      <w:szCs w:val="22"/>
    </w:rPr>
  </w:style>
  <w:style w:type="paragraph" w:styleId="1404">
    <w:name w:val="列表接续 51"/>
    <w:basedOn w:val="1131"/>
    <w:next w:val="1404"/>
    <w:link w:val="1131"/>
    <w:qFormat/>
    <w:pPr>
      <w:ind w:left="2100"/>
      <w:spacing w:after="120"/>
    </w:pPr>
    <w:rPr>
      <w:rFonts w:ascii="Times New Roman" w:hAnsi="Times New Roman"/>
      <w:szCs w:val="20"/>
    </w:rPr>
  </w:style>
  <w:style w:type="paragraph" w:styleId="1405">
    <w:name w:val="批注框文本1"/>
    <w:basedOn w:val="1131"/>
    <w:next w:val="1405"/>
    <w:link w:val="1406"/>
    <w:qFormat/>
    <w:rPr>
      <w:sz w:val="18"/>
      <w:szCs w:val="18"/>
    </w:rPr>
  </w:style>
  <w:style w:type="character" w:styleId="1406">
    <w:name w:val="批注框文本 Char"/>
    <w:next w:val="1406"/>
    <w:link w:val="1405"/>
    <w:qFormat/>
    <w:rPr>
      <w:rFonts w:ascii="Times New Roman" w:hAnsi="Times New Roman" w:eastAsia="宋体" w:cs="Times New Roman"/>
      <w:sz w:val="18"/>
      <w:szCs w:val="18"/>
    </w:rPr>
  </w:style>
  <w:style w:type="paragraph" w:styleId="1407">
    <w:name w:val="页脚1"/>
    <w:basedOn w:val="1131"/>
    <w:next w:val="1407"/>
    <w:link w:val="1408"/>
    <w:uiPriority w:val="99"/>
    <w:unhideWhenUsed/>
    <w:qFormat/>
    <w:pPr>
      <w:jc w:val="left"/>
      <w:tabs>
        <w:tab w:val="center" w:pos="4153" w:leader="none"/>
        <w:tab w:val="right" w:pos="8306" w:leader="none"/>
      </w:tabs>
    </w:pPr>
    <w:rPr>
      <w:rFonts w:ascii="Calibri" w:hAnsi="Calibri"/>
      <w:sz w:val="18"/>
      <w:szCs w:val="18"/>
    </w:rPr>
  </w:style>
  <w:style w:type="character" w:styleId="1408">
    <w:name w:val="页脚 Char"/>
    <w:next w:val="1408"/>
    <w:link w:val="1407"/>
    <w:uiPriority w:val="99"/>
    <w:qFormat/>
    <w:rPr>
      <w:rFonts w:ascii="Calibri" w:hAnsi="Calibri" w:eastAsia="宋体" w:cs="Times New Roman"/>
      <w:sz w:val="18"/>
      <w:szCs w:val="18"/>
    </w:rPr>
  </w:style>
  <w:style w:type="paragraph" w:styleId="1409">
    <w:name w:val="寄信人地址1"/>
    <w:basedOn w:val="1131"/>
    <w:next w:val="1409"/>
    <w:link w:val="1131"/>
    <w:qFormat/>
    <w:rPr>
      <w:rFonts w:ascii="Arial" w:hAnsi="Arial" w:cs="Arial"/>
      <w:szCs w:val="20"/>
    </w:rPr>
  </w:style>
  <w:style w:type="paragraph" w:styleId="1410">
    <w:name w:val="页眉11"/>
    <w:basedOn w:val="1131"/>
    <w:next w:val="1410"/>
    <w:link w:val="1411"/>
    <w:uiPriority w:val="99"/>
    <w:unhideWhenUsed/>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411">
    <w:name w:val="页眉 Char"/>
    <w:next w:val="1411"/>
    <w:link w:val="1410"/>
    <w:uiPriority w:val="99"/>
    <w:qFormat/>
    <w:rPr>
      <w:rFonts w:ascii="Calibri" w:hAnsi="Calibri" w:eastAsia="宋体" w:cs="Times New Roman"/>
      <w:sz w:val="18"/>
      <w:szCs w:val="18"/>
    </w:rPr>
  </w:style>
  <w:style w:type="paragraph" w:styleId="1412">
    <w:name w:val="签名1"/>
    <w:basedOn w:val="1131"/>
    <w:next w:val="1412"/>
    <w:link w:val="1413"/>
    <w:qFormat/>
    <w:pPr>
      <w:numPr>
        <w:ilvl w:val="0"/>
        <w:numId w:val="6"/>
      </w:numPr>
      <w:ind w:left="100" w:firstLine="0"/>
      <w:tabs>
        <w:tab w:val="left" w:pos="1620" w:leader="none"/>
      </w:tabs>
    </w:pPr>
    <w:rPr>
      <w:szCs w:val="20"/>
    </w:rPr>
  </w:style>
  <w:style w:type="character" w:styleId="1413">
    <w:name w:val="签名 Char"/>
    <w:next w:val="1413"/>
    <w:link w:val="1412"/>
    <w:qFormat/>
    <w:rPr>
      <w:rFonts w:ascii="Times New Roman" w:hAnsi="Times New Roman"/>
      <w:sz w:val="21"/>
    </w:rPr>
  </w:style>
  <w:style w:type="paragraph" w:styleId="1414">
    <w:name w:val="目录 11"/>
    <w:basedOn w:val="1131"/>
    <w:next w:val="1131"/>
    <w:link w:val="1131"/>
    <w:uiPriority w:val="39"/>
    <w:qFormat/>
    <w:pPr>
      <w:spacing w:before="120" w:after="120"/>
    </w:pPr>
    <w:rPr>
      <w:rFonts w:ascii="楷体_GB2312" w:hAnsi="Times New Roman"/>
      <w:b/>
      <w:bCs/>
      <w:caps/>
      <w:sz w:val="32"/>
      <w:szCs w:val="44"/>
    </w:rPr>
  </w:style>
  <w:style w:type="paragraph" w:styleId="1415">
    <w:name w:val="列表接续 41"/>
    <w:basedOn w:val="1131"/>
    <w:next w:val="1415"/>
    <w:link w:val="1131"/>
    <w:qFormat/>
    <w:pPr>
      <w:ind w:left="1680"/>
      <w:spacing w:after="120"/>
    </w:pPr>
    <w:rPr>
      <w:rFonts w:ascii="Times New Roman" w:hAnsi="Times New Roman"/>
      <w:szCs w:val="20"/>
    </w:rPr>
  </w:style>
  <w:style w:type="paragraph" w:styleId="1416">
    <w:name w:val="目录 41"/>
    <w:basedOn w:val="1131"/>
    <w:next w:val="1131"/>
    <w:link w:val="1131"/>
    <w:qFormat/>
    <w:pPr>
      <w:ind w:left="1260"/>
    </w:pPr>
    <w:rPr>
      <w:rFonts w:ascii="Times New Roman" w:hAnsi="Times New Roman"/>
      <w:szCs w:val="24"/>
    </w:rPr>
  </w:style>
  <w:style w:type="paragraph" w:styleId="1417">
    <w:name w:val="副标题1"/>
    <w:basedOn w:val="1131"/>
    <w:next w:val="1417"/>
    <w:link w:val="1418"/>
    <w:qFormat/>
    <w:pPr>
      <w:jc w:val="center"/>
      <w:spacing w:before="240" w:after="60" w:line="312" w:lineRule="auto"/>
      <w:outlineLvl w:val="1"/>
    </w:pPr>
    <w:rPr>
      <w:rFonts w:ascii="Arial" w:hAnsi="Arial"/>
      <w:b/>
      <w:bCs/>
      <w:sz w:val="32"/>
      <w:szCs w:val="32"/>
    </w:rPr>
  </w:style>
  <w:style w:type="character" w:styleId="1418">
    <w:name w:val="副标题 Char"/>
    <w:next w:val="1418"/>
    <w:link w:val="1417"/>
    <w:qFormat/>
    <w:rPr>
      <w:rFonts w:ascii="Arial" w:hAnsi="Arial" w:cs="Arial"/>
      <w:b/>
      <w:bCs/>
      <w:sz w:val="32"/>
      <w:szCs w:val="32"/>
    </w:rPr>
  </w:style>
  <w:style w:type="paragraph" w:styleId="1419">
    <w:name w:val="列表编号 51"/>
    <w:basedOn w:val="1131"/>
    <w:next w:val="1419"/>
    <w:link w:val="1131"/>
    <w:qFormat/>
    <w:pPr>
      <w:numPr>
        <w:ilvl w:val="0"/>
        <w:numId w:val="7"/>
      </w:numPr>
      <w:ind w:left="2040"/>
      <w:tabs>
        <w:tab w:val="left" w:pos="1200" w:leader="none"/>
        <w:tab w:val="left" w:pos="2040" w:leader="none"/>
      </w:tabs>
    </w:pPr>
    <w:rPr>
      <w:rFonts w:ascii="Times New Roman" w:hAnsi="Times New Roman"/>
      <w:szCs w:val="20"/>
    </w:rPr>
  </w:style>
  <w:style w:type="paragraph" w:styleId="1420">
    <w:name w:val="脚注文本1"/>
    <w:basedOn w:val="1131"/>
    <w:next w:val="1420"/>
    <w:link w:val="1421"/>
    <w:semiHidden/>
    <w:qFormat/>
    <w:pPr>
      <w:jc w:val="left"/>
    </w:pPr>
    <w:rPr>
      <w:sz w:val="18"/>
      <w:szCs w:val="18"/>
    </w:rPr>
  </w:style>
  <w:style w:type="character" w:styleId="1421">
    <w:name w:val="脚注文本 Char"/>
    <w:next w:val="1421"/>
    <w:link w:val="1420"/>
    <w:semiHidden/>
    <w:qFormat/>
    <w:rPr>
      <w:rFonts w:ascii="Times New Roman" w:hAnsi="Times New Roman" w:cs="黑体"/>
      <w:sz w:val="18"/>
      <w:szCs w:val="18"/>
    </w:rPr>
  </w:style>
  <w:style w:type="paragraph" w:styleId="1422">
    <w:name w:val="目录 61"/>
    <w:basedOn w:val="1131"/>
    <w:next w:val="1131"/>
    <w:link w:val="1131"/>
    <w:semiHidden/>
    <w:qFormat/>
    <w:pPr>
      <w:ind w:left="2100"/>
    </w:pPr>
    <w:rPr>
      <w:rFonts w:ascii="Times New Roman" w:hAnsi="Times New Roman"/>
      <w:szCs w:val="24"/>
    </w:rPr>
  </w:style>
  <w:style w:type="paragraph" w:styleId="1423">
    <w:name w:val="列表 51"/>
    <w:basedOn w:val="1131"/>
    <w:next w:val="1423"/>
    <w:link w:val="1131"/>
    <w:qFormat/>
    <w:pPr>
      <w:ind w:left="100" w:hanging="200"/>
    </w:pPr>
    <w:rPr>
      <w:rFonts w:ascii="Times New Roman" w:hAnsi="Times New Roman"/>
      <w:szCs w:val="20"/>
    </w:rPr>
  </w:style>
  <w:style w:type="paragraph" w:styleId="1424">
    <w:name w:val="正文文本缩进 31"/>
    <w:basedOn w:val="1131"/>
    <w:next w:val="1424"/>
    <w:link w:val="1425"/>
    <w:qFormat/>
    <w:pPr>
      <w:ind w:left="520" w:firstLine="425"/>
      <w:jc w:val="center"/>
    </w:pPr>
    <w:rPr>
      <w:rFonts w:ascii="方正行楷简体" w:hAnsi="Arial" w:eastAsia="方正行楷简体"/>
      <w:sz w:val="36"/>
      <w:szCs w:val="20"/>
    </w:rPr>
  </w:style>
  <w:style w:type="character" w:styleId="1425">
    <w:name w:val="正文文本缩进 3 Char"/>
    <w:next w:val="1425"/>
    <w:link w:val="1424"/>
    <w:qFormat/>
    <w:rPr>
      <w:rFonts w:ascii="方正行楷简体" w:hAnsi="Arial" w:eastAsia="方正行楷简体" w:cs="Times New Roman"/>
      <w:sz w:val="36"/>
      <w:szCs w:val="20"/>
    </w:rPr>
  </w:style>
  <w:style w:type="paragraph" w:styleId="1426">
    <w:name w:val="图表目录11"/>
    <w:basedOn w:val="1131"/>
    <w:next w:val="1131"/>
    <w:link w:val="1131"/>
    <w:semiHidden/>
    <w:qFormat/>
    <w:pPr>
      <w:ind w:left="840" w:hanging="420"/>
    </w:pPr>
    <w:rPr>
      <w:rFonts w:ascii="Times New Roman" w:hAnsi="Times New Roman"/>
      <w:szCs w:val="20"/>
    </w:rPr>
  </w:style>
  <w:style w:type="paragraph" w:styleId="1427">
    <w:name w:val="目录 21"/>
    <w:basedOn w:val="1131"/>
    <w:next w:val="1131"/>
    <w:link w:val="1131"/>
    <w:uiPriority w:val="39"/>
    <w:qFormat/>
    <w:pPr>
      <w:ind w:left="420"/>
      <w:tabs>
        <w:tab w:val="right" w:pos="9118" w:leader="dot"/>
      </w:tabs>
    </w:pPr>
    <w:rPr>
      <w:rFonts w:ascii="楷体_GB2312" w:hAnsi="Times New Roman" w:eastAsia="楷体_GB2312"/>
      <w:bCs/>
      <w:szCs w:val="44"/>
    </w:rPr>
  </w:style>
  <w:style w:type="paragraph" w:styleId="1428">
    <w:name w:val="目录 91"/>
    <w:basedOn w:val="1131"/>
    <w:next w:val="1131"/>
    <w:link w:val="1131"/>
    <w:semiHidden/>
    <w:qFormat/>
    <w:pPr>
      <w:ind w:left="3360"/>
    </w:pPr>
    <w:rPr>
      <w:rFonts w:ascii="Times New Roman" w:hAnsi="Times New Roman"/>
      <w:szCs w:val="24"/>
    </w:rPr>
  </w:style>
  <w:style w:type="paragraph" w:styleId="1429">
    <w:name w:val="正文文本 21"/>
    <w:basedOn w:val="1131"/>
    <w:next w:val="1429"/>
    <w:link w:val="1430"/>
    <w:qFormat/>
    <w:pPr>
      <w:spacing w:after="120" w:line="480" w:lineRule="auto"/>
    </w:pPr>
    <w:rPr>
      <w:sz w:val="20"/>
      <w:szCs w:val="24"/>
    </w:rPr>
  </w:style>
  <w:style w:type="character" w:styleId="1430">
    <w:name w:val="正文文本 2 Char"/>
    <w:next w:val="1430"/>
    <w:link w:val="1429"/>
    <w:qFormat/>
    <w:rPr>
      <w:rFonts w:ascii="Times New Roman" w:hAnsi="Times New Roman" w:eastAsia="宋体" w:cs="Times New Roman"/>
      <w:sz w:val="20"/>
      <w:szCs w:val="24"/>
    </w:rPr>
  </w:style>
  <w:style w:type="paragraph" w:styleId="1431">
    <w:name w:val="列表 41"/>
    <w:basedOn w:val="1131"/>
    <w:next w:val="1431"/>
    <w:link w:val="1131"/>
    <w:qFormat/>
    <w:pPr>
      <w:ind w:left="100" w:hanging="200"/>
    </w:pPr>
    <w:rPr>
      <w:rFonts w:ascii="Times New Roman" w:hAnsi="Times New Roman"/>
      <w:szCs w:val="20"/>
    </w:rPr>
  </w:style>
  <w:style w:type="paragraph" w:styleId="1432">
    <w:name w:val="列表接续 21"/>
    <w:basedOn w:val="1131"/>
    <w:next w:val="1432"/>
    <w:link w:val="1131"/>
    <w:qFormat/>
    <w:pPr>
      <w:numPr>
        <w:ilvl w:val="0"/>
        <w:numId w:val="8"/>
      </w:numPr>
      <w:ind w:left="840" w:firstLine="0"/>
      <w:spacing w:after="120"/>
      <w:tabs>
        <w:tab w:val="left" w:pos="2040" w:leader="none"/>
      </w:tabs>
    </w:pPr>
    <w:rPr>
      <w:rFonts w:ascii="Times New Roman" w:hAnsi="Times New Roman"/>
      <w:szCs w:val="20"/>
    </w:rPr>
  </w:style>
  <w:style w:type="paragraph" w:styleId="1433">
    <w:name w:val="信息标题1"/>
    <w:basedOn w:val="1131"/>
    <w:next w:val="1433"/>
    <w:link w:val="1434"/>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szCs w:val="24"/>
    </w:rPr>
  </w:style>
  <w:style w:type="character" w:styleId="1434">
    <w:name w:val="信息标题 Char"/>
    <w:next w:val="1434"/>
    <w:link w:val="1433"/>
    <w:qFormat/>
    <w:rPr>
      <w:rFonts w:ascii="Arial" w:hAnsi="Arial" w:cs="Arial"/>
      <w:sz w:val="24"/>
      <w:szCs w:val="24"/>
      <w:shd w:val="pct20" w:color="auto" w:fill="auto"/>
    </w:rPr>
  </w:style>
  <w:style w:type="paragraph" w:styleId="1435">
    <w:name w:val="HTML 预设格式1"/>
    <w:basedOn w:val="1131"/>
    <w:next w:val="1435"/>
    <w:link w:val="1436"/>
    <w:qFormat/>
    <w:rPr>
      <w:rFonts w:ascii="Courier New" w:hAnsi="Courier New"/>
      <w:sz w:val="20"/>
      <w:szCs w:val="20"/>
    </w:rPr>
  </w:style>
  <w:style w:type="character" w:styleId="1436">
    <w:name w:val="HTML 预设格式 Char"/>
    <w:next w:val="1436"/>
    <w:link w:val="1435"/>
    <w:qFormat/>
    <w:rPr>
      <w:rFonts w:ascii="Courier New" w:hAnsi="Courier New" w:cs="Courier New"/>
    </w:rPr>
  </w:style>
  <w:style w:type="paragraph" w:styleId="1437">
    <w:name w:val="普通(网站)11"/>
    <w:basedOn w:val="1131"/>
    <w:next w:val="1437"/>
    <w:link w:val="1438"/>
    <w:qFormat/>
    <w:pPr>
      <w:jc w:val="left"/>
      <w:spacing w:before="100" w:beforeAutospacing="1" w:after="100" w:afterAutospacing="1"/>
      <w:widowControl/>
    </w:pPr>
    <w:rPr>
      <w:rFonts w:ascii="宋体" w:hAnsi="宋体"/>
      <w:color w:val="000000"/>
      <w:sz w:val="24"/>
      <w:szCs w:val="24"/>
    </w:rPr>
  </w:style>
  <w:style w:type="character" w:styleId="1438">
    <w:name w:val="普通(网站) Char"/>
    <w:next w:val="1438"/>
    <w:link w:val="1437"/>
    <w:qFormat/>
    <w:rPr>
      <w:rFonts w:ascii="宋体" w:hAnsi="宋体" w:cs="宋体"/>
      <w:color w:val="000000"/>
      <w:sz w:val="24"/>
      <w:szCs w:val="24"/>
    </w:rPr>
  </w:style>
  <w:style w:type="paragraph" w:styleId="1439">
    <w:name w:val="列表接续 31"/>
    <w:basedOn w:val="1131"/>
    <w:next w:val="1439"/>
    <w:link w:val="1131"/>
    <w:qFormat/>
    <w:pPr>
      <w:ind w:left="1260"/>
      <w:spacing w:after="120"/>
    </w:pPr>
    <w:rPr>
      <w:rFonts w:ascii="Times New Roman" w:hAnsi="Times New Roman"/>
      <w:szCs w:val="20"/>
    </w:rPr>
  </w:style>
  <w:style w:type="paragraph" w:styleId="1440">
    <w:name w:val="标题1"/>
    <w:basedOn w:val="1131"/>
    <w:next w:val="1440"/>
    <w:link w:val="1441"/>
    <w:qFormat/>
    <w:pPr>
      <w:ind w:left="200" w:firstLine="200"/>
      <w:jc w:val="center"/>
      <w:spacing w:after="60" w:line="360" w:lineRule="auto"/>
      <w:outlineLvl w:val="0"/>
    </w:pPr>
    <w:rPr>
      <w:rFonts w:ascii="Arial" w:hAnsi="Arial" w:eastAsia="黑体"/>
      <w:b/>
      <w:spacing w:val="20"/>
      <w:sz w:val="36"/>
    </w:rPr>
  </w:style>
  <w:style w:type="character" w:styleId="1441">
    <w:name w:val="标题 Char"/>
    <w:next w:val="1441"/>
    <w:link w:val="1440"/>
    <w:qFormat/>
    <w:rPr>
      <w:rFonts w:ascii="Arial" w:hAnsi="Arial" w:eastAsia="黑体" w:cs="黑体"/>
      <w:b/>
      <w:spacing w:val="20"/>
      <w:sz w:val="36"/>
      <w:szCs w:val="22"/>
    </w:rPr>
  </w:style>
  <w:style w:type="paragraph" w:styleId="1442">
    <w:name w:val="批注主题1"/>
    <w:basedOn w:val="1371"/>
    <w:next w:val="1371"/>
    <w:link w:val="1443"/>
    <w:unhideWhenUsed/>
    <w:qFormat/>
    <w:rPr>
      <w:rFonts w:ascii="Calibri" w:hAnsi="Calibri"/>
      <w:b/>
      <w:bCs/>
    </w:rPr>
  </w:style>
  <w:style w:type="character" w:styleId="1443">
    <w:name w:val="批注主题 Char"/>
    <w:next w:val="1443"/>
    <w:link w:val="1442"/>
    <w:qFormat/>
    <w:rPr>
      <w:rFonts w:ascii="Calibri" w:hAnsi="Calibri" w:eastAsia="宋体" w:cs="Times New Roman"/>
      <w:b/>
      <w:bCs/>
      <w:szCs w:val="20"/>
    </w:rPr>
  </w:style>
  <w:style w:type="paragraph" w:styleId="1444">
    <w:name w:val="正文首行缩进1"/>
    <w:basedOn w:val="1380"/>
    <w:next w:val="1444"/>
    <w:link w:val="1445"/>
    <w:qFormat/>
    <w:pPr>
      <w:ind w:firstLine="420"/>
      <w:spacing w:after="120"/>
    </w:pPr>
    <w:rPr>
      <w:rFonts w:ascii="Times New Roman" w:hAnsi="Times New Roman" w:eastAsia="宋体"/>
      <w:szCs w:val="24"/>
    </w:rPr>
  </w:style>
  <w:style w:type="character" w:styleId="1445">
    <w:name w:val="正文首行缩进 Char"/>
    <w:next w:val="1445"/>
    <w:link w:val="1444"/>
    <w:qFormat/>
    <w:rPr>
      <w:rFonts w:ascii="Times New Roman" w:hAnsi="Times New Roman" w:eastAsia="宋体" w:cs="Times New Roman"/>
      <w:sz w:val="28"/>
      <w:szCs w:val="24"/>
    </w:rPr>
  </w:style>
  <w:style w:type="paragraph" w:styleId="1446">
    <w:name w:val="正文首行缩进 21"/>
    <w:basedOn w:val="1382"/>
    <w:next w:val="1446"/>
    <w:link w:val="1447"/>
    <w:qFormat/>
    <w:pPr>
      <w:ind w:left="420" w:firstLine="420"/>
      <w:spacing w:after="120"/>
    </w:pPr>
    <w:rPr>
      <w:rFonts w:ascii="Times New Roman"/>
      <w:sz w:val="21"/>
    </w:rPr>
  </w:style>
  <w:style w:type="character" w:styleId="1447">
    <w:name w:val="正文首行缩进 2 Char"/>
    <w:next w:val="1447"/>
    <w:link w:val="1446"/>
    <w:qFormat/>
    <w:rPr>
      <w:rFonts w:ascii="Times New Roman" w:hAnsi="Times New Roman" w:eastAsia="楷体_GB2312" w:cs="Times New Roman"/>
      <w:sz w:val="21"/>
      <w:szCs w:val="20"/>
    </w:rPr>
  </w:style>
  <w:style w:type="table" w:styleId="1448">
    <w:name w:val="网格型11"/>
    <w:basedOn w:val="1353"/>
    <w:next w:val="1448"/>
    <w:link w:val="1131"/>
    <w:uiPriority w:val="59"/>
    <w:qFormat/>
    <w:pPr>
      <w:jc w:val="both"/>
      <w:widowControl w:val="off"/>
    </w:pPr>
    <w:rPr>
      <w:rFonts w:ascii="Times New Roman" w:hAnsi="Times New Roman"/>
    </w:rPr>
    <w:tblPr/>
  </w:style>
  <w:style w:type="character" w:styleId="1449">
    <w:name w:val="要点11"/>
    <w:next w:val="1449"/>
    <w:link w:val="1131"/>
    <w:qFormat/>
    <w:rPr>
      <w:b/>
      <w:bCs/>
    </w:rPr>
  </w:style>
  <w:style w:type="character" w:styleId="1450">
    <w:name w:val="页码1"/>
    <w:basedOn w:val="1352"/>
    <w:next w:val="1450"/>
    <w:link w:val="1131"/>
    <w:qFormat/>
  </w:style>
  <w:style w:type="character" w:styleId="1451">
    <w:name w:val="已访问的超链接1"/>
    <w:next w:val="1451"/>
    <w:link w:val="1131"/>
    <w:qFormat/>
    <w:rPr>
      <w:color w:val="800080"/>
      <w:u w:val="single"/>
    </w:rPr>
  </w:style>
  <w:style w:type="character" w:styleId="1452">
    <w:name w:val="超链接1"/>
    <w:next w:val="1452"/>
    <w:link w:val="1131"/>
    <w:uiPriority w:val="99"/>
    <w:qFormat/>
    <w:rPr>
      <w:color w:val="0000ff"/>
      <w:u w:val="single"/>
    </w:rPr>
  </w:style>
  <w:style w:type="character" w:styleId="1453">
    <w:name w:val="批注引用1"/>
    <w:next w:val="1453"/>
    <w:link w:val="1131"/>
    <w:qFormat/>
    <w:rPr>
      <w:sz w:val="21"/>
    </w:rPr>
  </w:style>
  <w:style w:type="character" w:styleId="1454">
    <w:name w:val="要点1"/>
    <w:next w:val="1454"/>
    <w:link w:val="1131"/>
    <w:qFormat/>
    <w:rPr>
      <w:sz w:val="21"/>
      <w:szCs w:val="22"/>
      <w:lang w:val="en-US" w:eastAsia="zh-CN" w:bidi="ar-SA"/>
    </w:rPr>
  </w:style>
  <w:style w:type="character" w:styleId="1455">
    <w:name w:val="UH正文5 Char"/>
    <w:next w:val="1455"/>
    <w:link w:val="1456"/>
    <w:qFormat/>
    <w:rPr>
      <w:b/>
      <w:sz w:val="24"/>
      <w:szCs w:val="21"/>
    </w:rPr>
  </w:style>
  <w:style w:type="paragraph" w:styleId="1456">
    <w:name w:val="UH正文5"/>
    <w:basedOn w:val="1131"/>
    <w:next w:val="1456"/>
    <w:link w:val="1455"/>
    <w:qFormat/>
    <w:pPr>
      <w:numPr>
        <w:ilvl w:val="0"/>
        <w:numId w:val="9"/>
      </w:numPr>
      <w:jc w:val="left"/>
      <w:widowControl/>
    </w:pPr>
    <w:rPr>
      <w:b/>
      <w:sz w:val="24"/>
      <w:szCs w:val="21"/>
    </w:rPr>
  </w:style>
  <w:style w:type="character" w:styleId="1457">
    <w:name w:val="批注框文本 Char1"/>
    <w:next w:val="1457"/>
    <w:link w:val="1131"/>
    <w:uiPriority w:val="99"/>
    <w:semiHidden/>
    <w:qFormat/>
    <w:rPr>
      <w:rFonts w:ascii="Times New Roman" w:hAnsi="Times New Roman" w:eastAsia="宋体" w:cs="Times New Roman"/>
      <w:sz w:val="18"/>
      <w:szCs w:val="18"/>
    </w:rPr>
  </w:style>
  <w:style w:type="character" w:styleId="1458">
    <w:name w:val="style21"/>
    <w:next w:val="1458"/>
    <w:link w:val="1131"/>
    <w:qFormat/>
    <w:rPr>
      <w:sz w:val="19"/>
      <w:szCs w:val="19"/>
    </w:rPr>
  </w:style>
  <w:style w:type="character" w:styleId="1459">
    <w:name w:val="正文格式 Char"/>
    <w:next w:val="1459"/>
    <w:link w:val="1460"/>
    <w:qFormat/>
    <w:rPr>
      <w:rFonts w:ascii="Times New Roman" w:hAnsi="Times New Roman" w:eastAsia="宋体" w:cs="Times New Roman"/>
      <w:sz w:val="24"/>
      <w:szCs w:val="20"/>
    </w:rPr>
  </w:style>
  <w:style w:type="paragraph" w:styleId="1460">
    <w:name w:val="正文格式"/>
    <w:basedOn w:val="1131"/>
    <w:next w:val="1460"/>
    <w:link w:val="1459"/>
    <w:qFormat/>
    <w:pPr>
      <w:ind w:firstLine="482"/>
      <w:spacing w:line="360" w:lineRule="auto"/>
      <w:widowControl/>
    </w:pPr>
    <w:rPr>
      <w:sz w:val="24"/>
      <w:szCs w:val="20"/>
    </w:rPr>
  </w:style>
  <w:style w:type="character" w:styleId="1461">
    <w:name w:val="页眉 Char1"/>
    <w:next w:val="1461"/>
    <w:link w:val="1131"/>
    <w:qFormat/>
    <w:rPr>
      <w:rFonts w:ascii="Calibri" w:hAnsi="Calibri" w:eastAsia="宋体" w:cs="Times New Roman"/>
      <w:sz w:val="18"/>
      <w:szCs w:val="18"/>
    </w:rPr>
  </w:style>
  <w:style w:type="character" w:styleId="1462">
    <w:name w:val="content1"/>
    <w:basedOn w:val="1352"/>
    <w:next w:val="1462"/>
    <w:link w:val="1131"/>
    <w:qFormat/>
  </w:style>
  <w:style w:type="character" w:styleId="1463">
    <w:name w:val="宏文本 Char1"/>
    <w:next w:val="1463"/>
    <w:link w:val="1131"/>
    <w:uiPriority w:val="99"/>
    <w:semiHidden/>
    <w:qFormat/>
    <w:rPr>
      <w:rFonts w:ascii="Courier New" w:hAnsi="Courier New" w:eastAsia="宋体" w:cs="Courier New"/>
      <w:sz w:val="24"/>
      <w:szCs w:val="24"/>
    </w:rPr>
  </w:style>
  <w:style w:type="character" w:styleId="1464">
    <w:name w:val="正文缩进 Char_0"/>
    <w:next w:val="1464"/>
    <w:link w:val="1465"/>
    <w:qFormat/>
    <w:rPr>
      <w:rFonts w:ascii="Times New Roman" w:hAnsi="Times New Roman" w:eastAsia="宋体" w:cs="Times New Roman"/>
      <w:sz w:val="20"/>
      <w:szCs w:val="20"/>
    </w:rPr>
  </w:style>
  <w:style w:type="paragraph" w:styleId="1465">
    <w:name w:val="正文缩进_0"/>
    <w:basedOn w:val="1466"/>
    <w:next w:val="1465"/>
    <w:link w:val="1464"/>
    <w:qFormat/>
    <w:pPr>
      <w:ind w:firstLine="420"/>
    </w:pPr>
    <w:rPr>
      <w:sz w:val="20"/>
      <w:szCs w:val="20"/>
    </w:rPr>
  </w:style>
  <w:style w:type="paragraph" w:styleId="1466">
    <w:name w:val="正文_5"/>
    <w:next w:val="1466"/>
    <w:link w:val="1131"/>
    <w:qFormat/>
    <w:pPr>
      <w:jc w:val="both"/>
      <w:widowControl w:val="off"/>
    </w:pPr>
    <w:rPr>
      <w:sz w:val="21"/>
      <w:szCs w:val="22"/>
      <w:lang w:val="en-US" w:eastAsia="zh-CN" w:bidi="ar-SA"/>
    </w:rPr>
  </w:style>
  <w:style w:type="character" w:styleId="1467">
    <w:name w:val="公文正文 Char"/>
    <w:next w:val="1467"/>
    <w:link w:val="1468"/>
    <w:uiPriority w:val="99"/>
    <w:qFormat/>
    <w:rPr>
      <w:rFonts w:ascii="方正仿宋_GBK" w:hAnsi="仿宋" w:eastAsia="方正仿宋_GBK"/>
      <w:sz w:val="32"/>
    </w:rPr>
  </w:style>
  <w:style w:type="paragraph" w:styleId="1468">
    <w:name w:val="公文正文"/>
    <w:basedOn w:val="1131"/>
    <w:next w:val="1468"/>
    <w:link w:val="1467"/>
    <w:uiPriority w:val="99"/>
    <w:qFormat/>
    <w:pPr>
      <w:ind w:firstLine="640"/>
    </w:pPr>
    <w:rPr>
      <w:rFonts w:ascii="方正仿宋_GBK" w:hAnsi="仿宋" w:eastAsia="方正仿宋_GBK"/>
      <w:sz w:val="32"/>
      <w:szCs w:val="20"/>
    </w:rPr>
  </w:style>
  <w:style w:type="character" w:styleId="1469">
    <w:name w:val="apple-converted-space"/>
    <w:basedOn w:val="1352"/>
    <w:next w:val="1469"/>
    <w:link w:val="1131"/>
    <w:qFormat/>
  </w:style>
  <w:style w:type="character" w:styleId="1470">
    <w:name w:val="htd0"/>
    <w:basedOn w:val="1352"/>
    <w:next w:val="1470"/>
    <w:link w:val="1131"/>
    <w:qFormat/>
  </w:style>
  <w:style w:type="character" w:styleId="1471">
    <w:name w:val="招标标题3 Char1"/>
    <w:next w:val="1471"/>
    <w:link w:val="1472"/>
    <w:qFormat/>
    <w:rPr>
      <w:rFonts w:ascii="宋体" w:hAnsi="宋体" w:eastAsia="宋体" w:cs="Times New Roman"/>
      <w:b/>
      <w:bCs/>
      <w:sz w:val="24"/>
      <w:szCs w:val="32"/>
    </w:rPr>
  </w:style>
  <w:style w:type="paragraph" w:styleId="1472">
    <w:name w:val="招标标题3"/>
    <w:basedOn w:val="1337"/>
    <w:next w:val="1472"/>
    <w:link w:val="1471"/>
    <w:qFormat/>
    <w:pPr>
      <w:spacing w:line="360" w:lineRule="auto"/>
    </w:pPr>
    <w:rPr>
      <w:rFonts w:ascii="宋体" w:hAnsi="宋体"/>
      <w:bCs/>
      <w:sz w:val="24"/>
      <w:szCs w:val="32"/>
    </w:rPr>
  </w:style>
  <w:style w:type="character" w:styleId="1473">
    <w:name w:val="无间距字符"/>
    <w:next w:val="1473"/>
    <w:link w:val="1474"/>
    <w:qFormat/>
    <w:rPr>
      <w:rFonts w:ascii="Franklin Gothic Book" w:hAnsi="Franklin Gothic Book" w:eastAsia="黑体" w:cs="Times New Roman"/>
      <w:i/>
      <w:iCs/>
      <w:sz w:val="20"/>
      <w:szCs w:val="20"/>
      <w:lang w:eastAsia="en-US" w:bidi="en-US"/>
    </w:rPr>
  </w:style>
  <w:style w:type="paragraph" w:styleId="1474">
    <w:name w:val="无间距"/>
    <w:basedOn w:val="1131"/>
    <w:next w:val="1474"/>
    <w:link w:val="1473"/>
    <w:qFormat/>
    <w:pPr>
      <w:jc w:val="left"/>
      <w:widowControl/>
    </w:pPr>
    <w:rPr>
      <w:rFonts w:ascii="Franklin Gothic Book" w:hAnsi="Franklin Gothic Book" w:eastAsia="黑体"/>
      <w:i/>
      <w:iCs/>
      <w:sz w:val="20"/>
      <w:szCs w:val="20"/>
      <w:lang w:eastAsia="en-US" w:bidi="en-US"/>
    </w:rPr>
  </w:style>
  <w:style w:type="character" w:styleId="1475">
    <w:name w:val="pt9-hui-line201"/>
    <w:next w:val="1475"/>
    <w:link w:val="1131"/>
    <w:qFormat/>
    <w:rPr>
      <w:color w:val="333333"/>
      <w:sz w:val="18"/>
      <w:szCs w:val="18"/>
      <w:u w:val="none"/>
    </w:rPr>
  </w:style>
  <w:style w:type="character" w:styleId="1476">
    <w:name w:val="页脚 Char1"/>
    <w:next w:val="1476"/>
    <w:link w:val="1131"/>
    <w:qFormat/>
    <w:rPr>
      <w:rFonts w:ascii="Calibri" w:hAnsi="Calibri" w:eastAsia="宋体" w:cs="Times New Roman"/>
      <w:sz w:val="18"/>
      <w:szCs w:val="18"/>
    </w:rPr>
  </w:style>
  <w:style w:type="character" w:styleId="1477">
    <w:name w:val="正文格式 Char1"/>
    <w:next w:val="1477"/>
    <w:link w:val="1131"/>
    <w:qFormat/>
    <w:rPr>
      <w:rFonts w:eastAsia="宋体"/>
      <w:sz w:val="24"/>
      <w:szCs w:val="24"/>
      <w:lang w:val="en-US" w:eastAsia="zh-CN" w:bidi="ar-SA"/>
    </w:rPr>
  </w:style>
  <w:style w:type="character" w:styleId="1478">
    <w:name w:val="apple-style-span"/>
    <w:next w:val="1478"/>
    <w:link w:val="1131"/>
    <w:qFormat/>
  </w:style>
  <w:style w:type="character" w:styleId="1479">
    <w:name w:val="脚注文本 Char1"/>
    <w:next w:val="1479"/>
    <w:link w:val="1131"/>
    <w:uiPriority w:val="99"/>
    <w:semiHidden/>
    <w:qFormat/>
    <w:rPr>
      <w:rFonts w:ascii="Calibri" w:hAnsi="Calibri" w:eastAsia="宋体" w:cs="Times New Roman"/>
      <w:sz w:val="18"/>
      <w:szCs w:val="18"/>
    </w:rPr>
  </w:style>
  <w:style w:type="character" w:styleId="1480">
    <w:name w:val="htd0_0"/>
    <w:next w:val="1480"/>
    <w:link w:val="1131"/>
    <w:qFormat/>
    <w:rPr>
      <w:rFonts w:ascii="Times New Roman" w:hAnsi="Times New Roman"/>
    </w:rPr>
  </w:style>
  <w:style w:type="character" w:styleId="1481">
    <w:name w:val="UH正文 Char"/>
    <w:next w:val="1481"/>
    <w:link w:val="1482"/>
    <w:qFormat/>
    <w:rPr>
      <w:rFonts w:ascii="Arial" w:hAnsi="Arial"/>
      <w:sz w:val="24"/>
      <w:szCs w:val="21"/>
      <w:lang w:val="en-US" w:eastAsia="zh-CN" w:bidi="ar-SA"/>
    </w:rPr>
  </w:style>
  <w:style w:type="paragraph" w:styleId="1482">
    <w:name w:val="UH正文"/>
    <w:next w:val="1482"/>
    <w:link w:val="1481"/>
    <w:qFormat/>
    <w:pPr>
      <w:ind w:firstLine="200"/>
      <w:spacing w:line="360" w:lineRule="auto"/>
    </w:pPr>
    <w:rPr>
      <w:rFonts w:ascii="Arial" w:hAnsi="Arial"/>
      <w:sz w:val="24"/>
      <w:szCs w:val="21"/>
      <w:lang w:val="en-US" w:eastAsia="zh-CN" w:bidi="ar-SA"/>
    </w:rPr>
  </w:style>
  <w:style w:type="character" w:styleId="1483">
    <w:name w:val="titlebody"/>
    <w:next w:val="1483"/>
    <w:link w:val="1131"/>
    <w:qFormat/>
    <w:rPr>
      <w:rFonts w:ascii="宋体" w:hAnsi="宋体" w:eastAsia="宋体" w:cs="宋体"/>
      <w:b/>
      <w:bCs/>
      <w:color w:val="000000"/>
      <w:sz w:val="24"/>
      <w:szCs w:val="24"/>
    </w:rPr>
  </w:style>
  <w:style w:type="character" w:styleId="1484">
    <w:name w:val="标题 Char1"/>
    <w:next w:val="1484"/>
    <w:link w:val="1131"/>
    <w:uiPriority w:val="10"/>
    <w:qFormat/>
    <w:rPr>
      <w:rFonts w:ascii="Cambria" w:hAnsi="Cambria" w:eastAsia="宋体" w:cs="黑体"/>
      <w:b/>
      <w:bCs/>
      <w:sz w:val="32"/>
      <w:szCs w:val="32"/>
    </w:rPr>
  </w:style>
  <w:style w:type="character" w:styleId="1485">
    <w:name w:val="招标标题4 Char"/>
    <w:next w:val="1485"/>
    <w:link w:val="1486"/>
    <w:qFormat/>
    <w:rPr>
      <w:rFonts w:ascii="宋体" w:hAnsi="宋体" w:eastAsia="宋体" w:cs="Times New Roman"/>
      <w:b/>
      <w:bCs/>
      <w:sz w:val="24"/>
      <w:szCs w:val="28"/>
    </w:rPr>
  </w:style>
  <w:style w:type="paragraph" w:styleId="1486">
    <w:name w:val="招标标题4"/>
    <w:basedOn w:val="1340"/>
    <w:next w:val="1486"/>
    <w:link w:val="1485"/>
    <w:qFormat/>
    <w:pPr>
      <w:spacing w:line="360" w:lineRule="auto"/>
    </w:pPr>
    <w:rPr>
      <w:rFonts w:ascii="宋体" w:hAnsi="宋体" w:eastAsia="宋体"/>
      <w:sz w:val="24"/>
    </w:rPr>
  </w:style>
  <w:style w:type="character" w:styleId="1487">
    <w:name w:val="UH正文3 Char"/>
    <w:next w:val="1487"/>
    <w:link w:val="1488"/>
    <w:qFormat/>
    <w:rPr>
      <w:b/>
      <w:sz w:val="24"/>
      <w:szCs w:val="21"/>
      <w:lang w:val="en-US" w:eastAsia="zh-CN" w:bidi="ar-SA"/>
    </w:rPr>
  </w:style>
  <w:style w:type="paragraph" w:styleId="1488">
    <w:name w:val="UH正文3"/>
    <w:next w:val="1488"/>
    <w:link w:val="1487"/>
    <w:qFormat/>
    <w:rPr>
      <w:b/>
      <w:sz w:val="24"/>
      <w:szCs w:val="21"/>
      <w:lang w:val="en-US" w:eastAsia="zh-CN" w:bidi="ar-SA"/>
    </w:rPr>
  </w:style>
  <w:style w:type="character" w:styleId="1489">
    <w:name w:val="列出段落 Char"/>
    <w:next w:val="1489"/>
    <w:link w:val="1490"/>
    <w:qFormat/>
    <w:rPr>
      <w:rFonts w:ascii="Calibri" w:hAnsi="Calibri" w:eastAsia="宋体" w:cs="Times New Roman"/>
      <w:sz w:val="20"/>
      <w:szCs w:val="20"/>
    </w:rPr>
  </w:style>
  <w:style w:type="paragraph" w:styleId="1490">
    <w:name w:val="列出段落1"/>
    <w:basedOn w:val="1131"/>
    <w:next w:val="1490"/>
    <w:link w:val="1489"/>
    <w:qFormat/>
    <w:pPr>
      <w:ind w:firstLine="420"/>
    </w:pPr>
    <w:rPr>
      <w:rFonts w:ascii="Calibri" w:hAnsi="Calibri"/>
      <w:sz w:val="20"/>
      <w:szCs w:val="20"/>
    </w:rPr>
  </w:style>
  <w:style w:type="character" w:styleId="1491">
    <w:name w:val="批注主题 Char1"/>
    <w:next w:val="1491"/>
    <w:link w:val="1131"/>
    <w:uiPriority w:val="99"/>
    <w:semiHidden/>
    <w:qFormat/>
    <w:rPr>
      <w:rFonts w:ascii="Times New Roman" w:hAnsi="Times New Roman" w:eastAsia="宋体" w:cs="Times New Roman"/>
      <w:b/>
      <w:bCs/>
      <w:szCs w:val="24"/>
    </w:rPr>
  </w:style>
  <w:style w:type="character" w:styleId="1492">
    <w:name w:val="文档结构图 Char1"/>
    <w:next w:val="1492"/>
    <w:link w:val="1131"/>
    <w:qFormat/>
    <w:rPr>
      <w:rFonts w:ascii="宋体" w:hAnsi="Calibri" w:eastAsia="宋体" w:cs="Times New Roman"/>
      <w:sz w:val="18"/>
      <w:szCs w:val="18"/>
    </w:rPr>
  </w:style>
  <w:style w:type="character" w:styleId="1493">
    <w:name w:val="font"/>
    <w:basedOn w:val="1352"/>
    <w:next w:val="1493"/>
    <w:link w:val="1131"/>
    <w:qFormat/>
  </w:style>
  <w:style w:type="character" w:styleId="1494">
    <w:name w:val="bodybold1"/>
    <w:next w:val="1494"/>
    <w:link w:val="1131"/>
    <w:qFormat/>
    <w:rPr>
      <w:rFonts w:ascii="Taipei" w:hAnsi="Taipei"/>
      <w:b/>
      <w:bCs/>
      <w:color w:val="0066ff"/>
      <w:sz w:val="26"/>
      <w:szCs w:val="26"/>
      <w:u w:val="none"/>
    </w:rPr>
  </w:style>
  <w:style w:type="character" w:styleId="1495">
    <w:name w:val="正文文本 Char1"/>
    <w:next w:val="1495"/>
    <w:link w:val="1131"/>
    <w:qFormat/>
    <w:rPr>
      <w:rFonts w:ascii="楷体_GB2312" w:hAnsi="Arial" w:eastAsia="楷体_GB2312"/>
      <w:sz w:val="28"/>
    </w:rPr>
  </w:style>
  <w:style w:type="character" w:styleId="1496">
    <w:name w:val="style31"/>
    <w:next w:val="1496"/>
    <w:link w:val="1131"/>
    <w:qFormat/>
    <w:rPr>
      <w:sz w:val="21"/>
      <w:szCs w:val="21"/>
    </w:rPr>
  </w:style>
  <w:style w:type="character" w:styleId="1497">
    <w:name w:val="批注文字 Char1"/>
    <w:next w:val="1497"/>
    <w:link w:val="1131"/>
    <w:uiPriority w:val="99"/>
    <w:semiHidden/>
    <w:qFormat/>
    <w:rPr>
      <w:rFonts w:ascii="Times New Roman" w:hAnsi="Times New Roman" w:eastAsia="宋体" w:cs="Times New Roman"/>
      <w:szCs w:val="24"/>
    </w:rPr>
  </w:style>
  <w:style w:type="character" w:styleId="1498">
    <w:name w:val="尾注文本 Char1"/>
    <w:next w:val="1498"/>
    <w:link w:val="1131"/>
    <w:uiPriority w:val="99"/>
    <w:semiHidden/>
    <w:qFormat/>
    <w:rPr>
      <w:rFonts w:ascii="Calibri" w:hAnsi="Calibri" w:eastAsia="宋体" w:cs="Times New Roman"/>
    </w:rPr>
  </w:style>
  <w:style w:type="character" w:styleId="1499">
    <w:name w:val="1样式-正文 Char"/>
    <w:next w:val="1499"/>
    <w:link w:val="1500"/>
    <w:qFormat/>
    <w:rPr>
      <w:bCs/>
      <w:szCs w:val="21"/>
      <w:lang w:val="zh-CN"/>
    </w:rPr>
  </w:style>
  <w:style w:type="paragraph" w:styleId="1500">
    <w:name w:val="1样式-正文"/>
    <w:basedOn w:val="1131"/>
    <w:next w:val="1500"/>
    <w:link w:val="1499"/>
    <w:qFormat/>
    <w:pPr>
      <w:ind w:firstLine="482"/>
      <w:jc w:val="left"/>
      <w:spacing w:line="360" w:lineRule="auto"/>
    </w:pPr>
    <w:rPr>
      <w:bCs/>
      <w:sz w:val="20"/>
      <w:szCs w:val="21"/>
      <w:lang w:val="zh-CN"/>
    </w:rPr>
  </w:style>
  <w:style w:type="paragraph" w:styleId="1501">
    <w:name w:val="xl66"/>
    <w:basedOn w:val="1131"/>
    <w:next w:val="1501"/>
    <w:link w:val="11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502">
    <w:name w:val="font5"/>
    <w:basedOn w:val="1131"/>
    <w:next w:val="1502"/>
    <w:link w:val="1131"/>
    <w:qFormat/>
    <w:pPr>
      <w:jc w:val="left"/>
      <w:spacing w:before="100" w:beforeAutospacing="1" w:after="100" w:afterAutospacing="1"/>
      <w:widowControl/>
    </w:pPr>
    <w:rPr>
      <w:rFonts w:ascii="Tahoma" w:hAnsi="Tahoma" w:eastAsia="Arial Unicode MS" w:cs="Tahoma"/>
      <w:sz w:val="20"/>
      <w:szCs w:val="20"/>
    </w:rPr>
  </w:style>
  <w:style w:type="paragraph" w:styleId="1503">
    <w:name w:val="xl31"/>
    <w:basedOn w:val="1131"/>
    <w:next w:val="1503"/>
    <w:link w:val="1131"/>
    <w:qFormat/>
    <w:pPr>
      <w:jc w:val="left"/>
      <w:spacing w:before="100" w:beforeAutospacing="1" w:after="100" w:afterAutospacing="1"/>
      <w:widowControl/>
    </w:pPr>
    <w:rPr>
      <w:rFonts w:ascii="Tahoma" w:hAnsi="Tahoma" w:eastAsia="Arial Unicode MS" w:cs="Tahoma"/>
      <w:sz w:val="16"/>
      <w:szCs w:val="16"/>
    </w:rPr>
  </w:style>
  <w:style w:type="paragraph" w:styleId="1504">
    <w:name w:val="并列项-点"/>
    <w:basedOn w:val="1131"/>
    <w:next w:val="1504"/>
    <w:link w:val="1131"/>
    <w:qFormat/>
    <w:pPr>
      <w:ind w:left="851" w:hanging="284"/>
      <w:spacing w:line="360" w:lineRule="auto"/>
      <w:widowControl/>
      <w:tabs>
        <w:tab w:val="left" w:pos="851" w:leader="none"/>
        <w:tab w:val="left" w:pos="927" w:leader="none"/>
      </w:tabs>
    </w:pPr>
    <w:rPr>
      <w:rFonts w:ascii="Times New Roman" w:hAnsi="Times New Roman"/>
      <w:sz w:val="24"/>
      <w:szCs w:val="20"/>
    </w:rPr>
  </w:style>
  <w:style w:type="paragraph" w:styleId="1505">
    <w:name w:val="表格正文"/>
    <w:basedOn w:val="1131"/>
    <w:next w:val="1505"/>
    <w:link w:val="1131"/>
    <w:qFormat/>
    <w:pPr>
      <w:jc w:val="center"/>
    </w:pPr>
    <w:rPr>
      <w:rFonts w:ascii="Times New Roman" w:hAnsi="Times New Roman" w:eastAsia="仿宋_GB2312"/>
      <w:szCs w:val="24"/>
    </w:rPr>
  </w:style>
  <w:style w:type="paragraph" w:styleId="1506">
    <w:name w:val="Char Char Char"/>
    <w:basedOn w:val="1131"/>
    <w:next w:val="1506"/>
    <w:link w:val="1131"/>
    <w:qFormat/>
    <w:pPr>
      <w:numPr>
        <w:ilvl w:val="0"/>
        <w:numId w:val="10"/>
      </w:numPr>
    </w:pPr>
    <w:rPr>
      <w:rFonts w:ascii="Tahoma" w:hAnsi="Tahoma"/>
      <w:sz w:val="24"/>
      <w:szCs w:val="20"/>
    </w:rPr>
  </w:style>
  <w:style w:type="paragraph" w:styleId="1507">
    <w:name w:val="xl36"/>
    <w:basedOn w:val="1131"/>
    <w:next w:val="1507"/>
    <w:link w:val="11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508">
    <w:name w:val="xl57"/>
    <w:basedOn w:val="1131"/>
    <w:next w:val="1508"/>
    <w:link w:val="11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09">
    <w:name w:val="正文_3"/>
    <w:next w:val="1509"/>
    <w:link w:val="1131"/>
    <w:qFormat/>
    <w:pPr>
      <w:jc w:val="both"/>
      <w:widowControl w:val="off"/>
    </w:pPr>
    <w:rPr>
      <w:sz w:val="21"/>
      <w:szCs w:val="22"/>
      <w:lang w:val="en-US" w:eastAsia="zh-CN" w:bidi="ar-SA"/>
    </w:rPr>
  </w:style>
  <w:style w:type="paragraph" w:styleId="1510">
    <w:name w:val="p15"/>
    <w:basedOn w:val="1131"/>
    <w:next w:val="1510"/>
    <w:link w:val="1131"/>
    <w:qFormat/>
    <w:pPr>
      <w:ind w:firstLine="420"/>
      <w:widowControl/>
    </w:pPr>
    <w:rPr>
      <w:rFonts w:ascii="Times New Roman" w:hAnsi="Times New Roman"/>
      <w:szCs w:val="21"/>
    </w:rPr>
  </w:style>
  <w:style w:type="paragraph" w:styleId="1511">
    <w:name w:val="正文_0_0"/>
    <w:next w:val="1511"/>
    <w:link w:val="1131"/>
    <w:qFormat/>
    <w:pPr>
      <w:jc w:val="both"/>
      <w:widowControl w:val="off"/>
    </w:pPr>
    <w:rPr>
      <w:sz w:val="21"/>
      <w:szCs w:val="22"/>
      <w:lang w:val="en-US" w:eastAsia="zh-CN" w:bidi="ar-SA"/>
    </w:rPr>
  </w:style>
  <w:style w:type="paragraph" w:styleId="1512">
    <w:name w:val="正文 + 宋体"/>
    <w:basedOn w:val="1131"/>
    <w:next w:val="1512"/>
    <w:link w:val="1131"/>
    <w:qFormat/>
    <w:pPr>
      <w:jc w:val="left"/>
      <w:widowControl/>
    </w:pPr>
    <w:rPr>
      <w:rFonts w:ascii="Courier New" w:hAnsi="Courier New"/>
      <w:sz w:val="18"/>
      <w:szCs w:val="20"/>
    </w:rPr>
  </w:style>
  <w:style w:type="paragraph" w:styleId="1513">
    <w:name w:val="列出段落2"/>
    <w:basedOn w:val="1131"/>
    <w:next w:val="1513"/>
    <w:link w:val="1131"/>
    <w:qFormat/>
    <w:pPr>
      <w:ind w:firstLine="420"/>
    </w:pPr>
  </w:style>
  <w:style w:type="paragraph" w:styleId="1514">
    <w:name w:val="arial"/>
    <w:basedOn w:val="1131"/>
    <w:next w:val="1514"/>
    <w:link w:val="1131"/>
    <w:qFormat/>
    <w:pPr>
      <w:numPr>
        <w:ilvl w:val="0"/>
        <w:numId w:val="11"/>
      </w:numPr>
      <w:ind w:left="0" w:firstLine="0"/>
      <w:jc w:val="center"/>
    </w:pPr>
    <w:rPr>
      <w:rFonts w:ascii="Times New Roman" w:hAnsi="Times New Roman"/>
      <w:szCs w:val="20"/>
    </w:rPr>
  </w:style>
  <w:style w:type="paragraph" w:styleId="1515">
    <w:name w:val="xl65"/>
    <w:basedOn w:val="1131"/>
    <w:next w:val="1515"/>
    <w:link w:val="113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516">
    <w:name w:val="xl48"/>
    <w:basedOn w:val="1131"/>
    <w:next w:val="1516"/>
    <w:link w:val="11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17">
    <w:name w:val="正常1"/>
    <w:next w:val="1517"/>
    <w:link w:val="1131"/>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518">
    <w:name w:val="标准正文"/>
    <w:basedOn w:val="1382"/>
    <w:next w:val="1426"/>
    <w:link w:val="1131"/>
    <w:qFormat/>
    <w:pPr>
      <w:ind w:firstLine="482"/>
      <w:spacing w:before="60" w:after="60" w:line="360" w:lineRule="auto"/>
    </w:pPr>
    <w:rPr>
      <w:rFonts w:ascii="Times New Roman" w:eastAsia="宋体"/>
      <w:sz w:val="24"/>
    </w:rPr>
  </w:style>
  <w:style w:type="paragraph" w:styleId="1519">
    <w:name w:val="表格文字"/>
    <w:basedOn w:val="1131"/>
    <w:next w:val="1519"/>
    <w:link w:val="1131"/>
    <w:qFormat/>
    <w:pPr>
      <w:jc w:val="center"/>
      <w:tabs>
        <w:tab w:val="left" w:pos="7740" w:leader="none"/>
      </w:tabs>
    </w:pPr>
    <w:rPr>
      <w:rFonts w:ascii="宋体" w:hAnsi="宋体"/>
      <w:sz w:val="24"/>
      <w:szCs w:val="20"/>
    </w:rPr>
  </w:style>
  <w:style w:type="paragraph" w:styleId="1520">
    <w:name w:val="附录五级条标题"/>
    <w:basedOn w:val="1521"/>
    <w:next w:val="1526"/>
    <w:link w:val="1131"/>
    <w:qFormat/>
    <w:pPr>
      <w:numPr>
        <w:ilvl w:val="6"/>
      </w:numPr>
      <w:outlineLvl w:val="6"/>
    </w:pPr>
  </w:style>
  <w:style w:type="paragraph" w:styleId="1521">
    <w:name w:val="附录四级条标题"/>
    <w:basedOn w:val="1522"/>
    <w:next w:val="1526"/>
    <w:link w:val="1131"/>
    <w:qFormat/>
    <w:pPr>
      <w:numPr>
        <w:ilvl w:val="5"/>
      </w:numPr>
      <w:outlineLvl w:val="5"/>
    </w:pPr>
  </w:style>
  <w:style w:type="paragraph" w:styleId="1522">
    <w:name w:val="附录三级条标题 Char"/>
    <w:basedOn w:val="1523"/>
    <w:next w:val="1526"/>
    <w:link w:val="1131"/>
    <w:qFormat/>
    <w:pPr>
      <w:numPr>
        <w:ilvl w:val="4"/>
      </w:numPr>
      <w:outlineLvl w:val="4"/>
    </w:pPr>
  </w:style>
  <w:style w:type="paragraph" w:styleId="1523">
    <w:name w:val="附录二级条标题 Char"/>
    <w:basedOn w:val="1524"/>
    <w:next w:val="1526"/>
    <w:link w:val="1131"/>
    <w:qFormat/>
    <w:pPr>
      <w:numPr>
        <w:ilvl w:val="3"/>
      </w:numPr>
      <w:outlineLvl w:val="3"/>
    </w:pPr>
  </w:style>
  <w:style w:type="paragraph" w:styleId="1524">
    <w:name w:val="附录一级条标题 Char"/>
    <w:basedOn w:val="1525"/>
    <w:next w:val="1526"/>
    <w:link w:val="1131"/>
    <w:qFormat/>
    <w:pPr>
      <w:numPr>
        <w:ilvl w:val="2"/>
        <w:numId w:val="12"/>
      </w:numPr>
      <w:outlineLvl w:val="2"/>
    </w:pPr>
  </w:style>
  <w:style w:type="paragraph" w:styleId="1525">
    <w:name w:val="附录章标题 Char"/>
    <w:next w:val="1526"/>
    <w:link w:val="1131"/>
    <w:qFormat/>
    <w:pPr>
      <w:jc w:val="both"/>
      <w:outlineLvl w:val="1"/>
    </w:pPr>
    <w:rPr>
      <w:rFonts w:ascii="黑体" w:eastAsia="黑体"/>
      <w:lang w:val="en-US" w:eastAsia="zh-CN" w:bidi="ar-SA"/>
    </w:rPr>
  </w:style>
  <w:style w:type="paragraph" w:styleId="1526">
    <w:name w:val="段"/>
    <w:next w:val="1526"/>
    <w:link w:val="1131"/>
    <w:qFormat/>
    <w:pPr>
      <w:ind w:firstLine="200"/>
      <w:jc w:val="both"/>
    </w:pPr>
    <w:rPr>
      <w:rFonts w:ascii="宋体"/>
      <w:sz w:val="21"/>
      <w:lang w:val="en-US" w:eastAsia="zh-CN" w:bidi="ar-SA"/>
    </w:rPr>
  </w:style>
  <w:style w:type="paragraph" w:styleId="1527">
    <w:name w:val="修订1"/>
    <w:next w:val="1527"/>
    <w:link w:val="1131"/>
    <w:uiPriority w:val="99"/>
    <w:semiHidden/>
    <w:qFormat/>
    <w:rPr>
      <w:sz w:val="21"/>
      <w:szCs w:val="24"/>
      <w:lang w:val="en-US" w:eastAsia="zh-CN" w:bidi="ar-SA"/>
    </w:rPr>
  </w:style>
  <w:style w:type="paragraph" w:styleId="1528">
    <w:name w:val="xl61"/>
    <w:basedOn w:val="1131"/>
    <w:next w:val="1528"/>
    <w:link w:val="113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29">
    <w:name w:val="样式4"/>
    <w:basedOn w:val="1131"/>
    <w:next w:val="1529"/>
    <w:link w:val="1131"/>
    <w:qFormat/>
    <w:pPr>
      <w:ind w:left="-2"/>
      <w:spacing w:line="440" w:lineRule="exact"/>
    </w:pPr>
    <w:rPr>
      <w:rFonts w:ascii="宋体" w:hAnsi="宋体"/>
      <w:sz w:val="28"/>
      <w:szCs w:val="24"/>
    </w:rPr>
  </w:style>
  <w:style w:type="paragraph" w:styleId="1530">
    <w:name w:val="xl45"/>
    <w:basedOn w:val="1131"/>
    <w:next w:val="1530"/>
    <w:link w:val="1131"/>
    <w:qFormat/>
    <w:pPr>
      <w:jc w:val="left"/>
      <w:spacing w:before="100" w:beforeAutospacing="1" w:after="100" w:afterAutospacing="1"/>
      <w:widowControl/>
    </w:pPr>
    <w:rPr>
      <w:rFonts w:hint="eastAsia" w:ascii="黑体" w:hAnsi="Arial Unicode MS" w:eastAsia="黑体"/>
      <w:b/>
      <w:bCs/>
      <w:sz w:val="24"/>
      <w:szCs w:val="24"/>
    </w:rPr>
  </w:style>
  <w:style w:type="paragraph" w:styleId="1531">
    <w:name w:val="正文编号"/>
    <w:basedOn w:val="1131"/>
    <w:next w:val="1531"/>
    <w:link w:val="1131"/>
    <w:qFormat/>
    <w:pPr>
      <w:ind w:left="195" w:hanging="51"/>
      <w:spacing w:line="360" w:lineRule="auto"/>
      <w:tabs>
        <w:tab w:val="left" w:pos="0" w:leader="none"/>
        <w:tab w:val="left" w:pos="840" w:leader="none"/>
      </w:tabs>
    </w:pPr>
    <w:rPr>
      <w:rFonts w:ascii="Book Antiqua" w:hAnsi="Book Antiqua"/>
      <w:sz w:val="24"/>
      <w:szCs w:val="20"/>
    </w:rPr>
  </w:style>
  <w:style w:type="paragraph" w:styleId="1532">
    <w:name w:val="样式 标题 2Heading 2 HiddenHeading 2 CCBSheading 2第一章 标题 2H2h2..."/>
    <w:basedOn w:val="1333"/>
    <w:next w:val="1532"/>
    <w:link w:val="1131"/>
    <w:qFormat/>
    <w:pPr>
      <w:ind w:left="1264" w:hanging="420"/>
      <w:jc w:val="left"/>
      <w:spacing w:line="360" w:lineRule="auto"/>
    </w:pPr>
    <w:rPr>
      <w:rFonts w:ascii="Arial" w:eastAsia="黑体" w:cs="宋体"/>
      <w:bCs/>
      <w:sz w:val="32"/>
    </w:rPr>
  </w:style>
  <w:style w:type="paragraph" w:styleId="1533">
    <w:name w:val="Char1"/>
    <w:basedOn w:val="1131"/>
    <w:next w:val="1533"/>
    <w:link w:val="1131"/>
    <w:qFormat/>
    <w:pPr>
      <w:ind w:left="840" w:hanging="420"/>
      <w:tabs>
        <w:tab w:val="left" w:pos="840" w:leader="none"/>
      </w:tabs>
    </w:pPr>
    <w:rPr>
      <w:rFonts w:ascii="Times New Roman" w:hAnsi="Times New Roman"/>
      <w:sz w:val="24"/>
      <w:szCs w:val="24"/>
    </w:rPr>
  </w:style>
  <w:style w:type="paragraph" w:styleId="1534">
    <w:name w:val="xl77"/>
    <w:basedOn w:val="1131"/>
    <w:next w:val="1534"/>
    <w:link w:val="113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35">
    <w:name w:val="样式2"/>
    <w:basedOn w:val="1131"/>
    <w:next w:val="1535"/>
    <w:link w:val="1131"/>
    <w:qFormat/>
    <w:pPr>
      <w:ind w:left="624" w:hanging="720"/>
    </w:pPr>
    <w:rPr>
      <w:rFonts w:ascii="黑体" w:hAnsi="Times New Roman" w:eastAsia="黑体"/>
      <w:b/>
      <w:sz w:val="30"/>
      <w:szCs w:val="24"/>
    </w:rPr>
  </w:style>
  <w:style w:type="paragraph" w:styleId="1536">
    <w:name w:val="Normal_14"/>
    <w:next w:val="1536"/>
    <w:link w:val="1131"/>
    <w:qFormat/>
    <w:rPr>
      <w:rFonts w:eastAsia="Times New Roman"/>
      <w:sz w:val="24"/>
      <w:szCs w:val="24"/>
      <w:lang w:val="en-US" w:eastAsia="zh-CN" w:bidi="ar-SA"/>
    </w:rPr>
  </w:style>
  <w:style w:type="paragraph" w:styleId="1537">
    <w:name w:val="修订1_0"/>
    <w:next w:val="1537"/>
    <w:link w:val="1131"/>
    <w:uiPriority w:val="99"/>
    <w:semiHidden/>
    <w:qFormat/>
    <w:rPr>
      <w:szCs w:val="24"/>
      <w:lang w:val="en-US" w:eastAsia="zh-CN" w:bidi="ar-SA"/>
    </w:rPr>
  </w:style>
  <w:style w:type="paragraph" w:styleId="1538">
    <w:name w:val="xl34"/>
    <w:basedOn w:val="1131"/>
    <w:next w:val="1538"/>
    <w:link w:val="1131"/>
    <w:qFormat/>
    <w:pPr>
      <w:jc w:val="center"/>
      <w:spacing w:before="100" w:beforeAutospacing="1" w:after="100" w:afterAutospacing="1"/>
      <w:widowControl/>
      <w:pBdr>
        <w:left w:val="single" w:color="000000" w:sz="4" w:space="0"/>
      </w:pBdr>
    </w:pPr>
    <w:rPr>
      <w:rFonts w:hint="eastAsia" w:ascii="楷体_GB2312" w:hAnsi="宋体" w:eastAsia="楷体_GB2312"/>
      <w:sz w:val="24"/>
      <w:szCs w:val="24"/>
    </w:rPr>
  </w:style>
  <w:style w:type="paragraph" w:styleId="1539">
    <w:name w:val="表格文字1"/>
    <w:basedOn w:val="1131"/>
    <w:next w:val="1539"/>
    <w:link w:val="1131"/>
    <w:qFormat/>
    <w:pPr>
      <w:jc w:val="center"/>
    </w:pPr>
    <w:rPr>
      <w:rFonts w:ascii="宋体" w:hAnsi="宋体"/>
      <w:szCs w:val="21"/>
      <w:shd w:val="clear" w:color="auto" w:fill="ffffff"/>
    </w:rPr>
  </w:style>
  <w:style w:type="paragraph" w:styleId="1540">
    <w:name w:val="xl58"/>
    <w:basedOn w:val="1131"/>
    <w:next w:val="1540"/>
    <w:link w:val="11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41">
    <w:name w:val="二级条标题 + 小三"/>
    <w:basedOn w:val="1526"/>
    <w:next w:val="1541"/>
    <w:link w:val="1131"/>
    <w:qFormat/>
    <w:pPr>
      <w:ind w:firstLine="420"/>
    </w:pPr>
    <w:rPr>
      <w:sz w:val="20"/>
    </w:rPr>
  </w:style>
  <w:style w:type="paragraph" w:styleId="1542">
    <w:name w:val="33-1级列表编号-1"/>
    <w:basedOn w:val="1131"/>
    <w:next w:val="1131"/>
    <w:link w:val="1131"/>
    <w:qFormat/>
    <w:pPr>
      <w:numPr>
        <w:ilvl w:val="0"/>
        <w:numId w:val="13"/>
      </w:numPr>
      <w:spacing w:line="360" w:lineRule="exact"/>
    </w:pPr>
    <w:rPr>
      <w:rFonts w:ascii="Times New Roman" w:hAnsi="Times New Roman"/>
      <w:szCs w:val="24"/>
    </w:rPr>
  </w:style>
  <w:style w:type="paragraph" w:styleId="1543">
    <w:name w:val="Normal_6"/>
    <w:next w:val="1543"/>
    <w:link w:val="1131"/>
    <w:qFormat/>
    <w:rPr>
      <w:rFonts w:eastAsia="Times New Roman"/>
      <w:sz w:val="24"/>
      <w:szCs w:val="24"/>
      <w:lang w:val="en-US" w:eastAsia="zh-CN" w:bidi="ar-SA"/>
    </w:rPr>
  </w:style>
  <w:style w:type="paragraph" w:styleId="1544">
    <w:name w:val="xl29"/>
    <w:basedOn w:val="1131"/>
    <w:next w:val="1544"/>
    <w:link w:val="1131"/>
    <w:qFormat/>
    <w:pPr>
      <w:jc w:val="left"/>
      <w:spacing w:before="100" w:beforeAutospacing="1" w:after="100" w:afterAutospacing="1"/>
      <w:widowControl/>
    </w:pPr>
    <w:rPr>
      <w:rFonts w:ascii="Tahoma" w:hAnsi="Tahoma" w:eastAsia="Arial Unicode MS" w:cs="Tahoma"/>
      <w:sz w:val="16"/>
      <w:szCs w:val="16"/>
    </w:rPr>
  </w:style>
  <w:style w:type="paragraph" w:styleId="1545">
    <w:name w:val="xl69"/>
    <w:basedOn w:val="1131"/>
    <w:next w:val="1545"/>
    <w:link w:val="11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546">
    <w:name w:val="font10"/>
    <w:basedOn w:val="1131"/>
    <w:next w:val="1546"/>
    <w:link w:val="1131"/>
    <w:qFormat/>
    <w:pPr>
      <w:jc w:val="left"/>
      <w:spacing w:before="100" w:beforeAutospacing="1" w:after="100" w:afterAutospacing="1"/>
      <w:widowControl/>
    </w:pPr>
    <w:rPr>
      <w:rFonts w:ascii="Times New Roman" w:hAnsi="Times New Roman" w:eastAsia="Arial Unicode MS"/>
      <w:color w:val="000000"/>
      <w:sz w:val="20"/>
      <w:szCs w:val="20"/>
    </w:rPr>
  </w:style>
  <w:style w:type="paragraph" w:styleId="1547">
    <w:name w:val="xl53"/>
    <w:basedOn w:val="1131"/>
    <w:next w:val="1547"/>
    <w:link w:val="11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48">
    <w:name w:val="正文段落内容"/>
    <w:basedOn w:val="1131"/>
    <w:next w:val="1548"/>
    <w:link w:val="1131"/>
    <w:qFormat/>
    <w:pPr>
      <w:ind w:firstLine="480"/>
      <w:jc w:val="center"/>
      <w:spacing w:line="360" w:lineRule="auto"/>
    </w:pPr>
    <w:rPr>
      <w:rFonts w:ascii="宋体" w:hAnsi="宋体"/>
      <w:sz w:val="24"/>
      <w:szCs w:val="24"/>
      <w:lang w:bidi="en-US"/>
    </w:rPr>
  </w:style>
  <w:style w:type="paragraph" w:styleId="1549">
    <w:name w:val="font0"/>
    <w:basedOn w:val="1131"/>
    <w:next w:val="1549"/>
    <w:link w:val="1131"/>
    <w:qFormat/>
    <w:pPr>
      <w:jc w:val="left"/>
      <w:spacing w:before="100" w:beforeAutospacing="1" w:after="100" w:afterAutospacing="1"/>
      <w:widowControl/>
    </w:pPr>
    <w:rPr>
      <w:rFonts w:hint="eastAsia" w:ascii="宋体" w:hAnsi="宋体"/>
      <w:sz w:val="24"/>
      <w:szCs w:val="24"/>
    </w:rPr>
  </w:style>
  <w:style w:type="paragraph" w:styleId="1550">
    <w:name w:val="文档正文"/>
    <w:basedOn w:val="1131"/>
    <w:next w:val="1550"/>
    <w:link w:val="1131"/>
    <w:qFormat/>
    <w:pPr>
      <w:ind w:firstLine="420"/>
      <w:spacing w:line="360" w:lineRule="auto"/>
    </w:pPr>
    <w:rPr>
      <w:rFonts w:ascii="Times New Roman" w:hAnsi="Times New Roman"/>
      <w:color w:val="000000"/>
      <w:szCs w:val="20"/>
      <w:lang w:val="fr-FR"/>
    </w:rPr>
  </w:style>
  <w:style w:type="paragraph" w:styleId="1551">
    <w:name w:val="标题3"/>
    <w:basedOn w:val="1337"/>
    <w:next w:val="1551"/>
    <w:link w:val="1131"/>
    <w:qFormat/>
    <w:pPr>
      <w:keepLines w:val="0"/>
      <w:keepNext w:val="0"/>
      <w:spacing w:before="0" w:after="0" w:line="360" w:lineRule="auto"/>
    </w:pPr>
    <w:rPr>
      <w:rFonts w:eastAsia="仿宋_GB2312"/>
      <w:b w:val="0"/>
      <w:bCs/>
      <w:sz w:val="30"/>
      <w:szCs w:val="32"/>
    </w:rPr>
  </w:style>
  <w:style w:type="paragraph" w:styleId="1552">
    <w:name w:val="正文4"/>
    <w:basedOn w:val="1131"/>
    <w:next w:val="1552"/>
    <w:link w:val="1131"/>
    <w:qFormat/>
    <w:pPr>
      <w:ind w:firstLine="480"/>
      <w:spacing w:line="360" w:lineRule="auto"/>
    </w:pPr>
    <w:rPr>
      <w:rFonts w:ascii="楷体_GB2312" w:hAnsi="宋体" w:eastAsia="楷体_GB2312"/>
      <w:sz w:val="24"/>
      <w:szCs w:val="20"/>
    </w:rPr>
  </w:style>
  <w:style w:type="paragraph" w:styleId="1553">
    <w:name w:val="xl59"/>
    <w:basedOn w:val="1131"/>
    <w:next w:val="1553"/>
    <w:link w:val="11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olor w:val="000000"/>
      <w:sz w:val="20"/>
      <w:szCs w:val="20"/>
    </w:rPr>
  </w:style>
  <w:style w:type="paragraph" w:styleId="1554">
    <w:name w:val="正文_0"/>
    <w:next w:val="1554"/>
    <w:link w:val="1131"/>
    <w:qFormat/>
    <w:pPr>
      <w:jc w:val="both"/>
      <w:widowControl w:val="off"/>
    </w:pPr>
    <w:rPr>
      <w:sz w:val="21"/>
      <w:szCs w:val="24"/>
      <w:lang w:val="en-US" w:eastAsia="zh-CN" w:bidi="ar-SA"/>
    </w:rPr>
  </w:style>
  <w:style w:type="paragraph" w:styleId="1555">
    <w:name w:val="xl75"/>
    <w:basedOn w:val="1131"/>
    <w:next w:val="1555"/>
    <w:link w:val="11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56">
    <w:name w:val="附录标识"/>
    <w:basedOn w:val="1557"/>
    <w:next w:val="1556"/>
    <w:link w:val="1131"/>
    <w:qFormat/>
    <w:pPr>
      <w:numPr>
        <w:ilvl w:val="0"/>
        <w:numId w:val="12"/>
      </w:numPr>
      <w:ind w:left="0" w:firstLine="0"/>
    </w:pPr>
  </w:style>
  <w:style w:type="paragraph" w:styleId="1557">
    <w:name w:val="前言、引言标题"/>
    <w:next w:val="1131"/>
    <w:link w:val="1131"/>
    <w:qFormat/>
    <w:pPr>
      <w:jc w:val="center"/>
      <w:spacing w:before="640" w:after="560"/>
      <w:shd w:val="clear" w:color="ffffff" w:fill="ffffff"/>
      <w:outlineLvl w:val="0"/>
    </w:pPr>
    <w:rPr>
      <w:rFonts w:ascii="黑体" w:eastAsia="黑体"/>
      <w:sz w:val="32"/>
      <w:lang w:val="en-US" w:eastAsia="zh-CN" w:bidi="ar-SA"/>
    </w:rPr>
  </w:style>
  <w:style w:type="paragraph" w:styleId="1558">
    <w:name w:val="table_lines"/>
    <w:basedOn w:val="1131"/>
    <w:next w:val="1558"/>
    <w:link w:val="1131"/>
    <w:qFormat/>
    <w:pPr>
      <w:jc w:val="left"/>
      <w:widowControl/>
    </w:pPr>
    <w:rPr>
      <w:rFonts w:ascii="Times New Roman" w:hAnsi="Times New Roman"/>
      <w:sz w:val="20"/>
      <w:szCs w:val="20"/>
      <w:lang w:val="de-DE" w:eastAsia="de-DE"/>
    </w:rPr>
  </w:style>
  <w:style w:type="paragraph" w:styleId="1559">
    <w:name w:val="xl35"/>
    <w:basedOn w:val="1131"/>
    <w:next w:val="1559"/>
    <w:link w:val="11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560">
    <w:name w:val="样式 正文缩进 + 首行缩进:  2 字符"/>
    <w:basedOn w:val="1335"/>
    <w:next w:val="1560"/>
    <w:link w:val="1131"/>
    <w:qFormat/>
    <w:pPr>
      <w:ind w:firstLine="200"/>
      <w:spacing w:line="360" w:lineRule="auto"/>
    </w:pPr>
    <w:rPr>
      <w:rFonts w:cs="宋体"/>
      <w:sz w:val="24"/>
    </w:rPr>
  </w:style>
  <w:style w:type="paragraph" w:styleId="1561">
    <w:name w:val="正文符号编号"/>
    <w:basedOn w:val="1131"/>
    <w:next w:val="1561"/>
    <w:link w:val="1131"/>
    <w:qFormat/>
    <w:pPr>
      <w:ind w:left="720" w:hanging="720"/>
      <w:spacing w:line="360" w:lineRule="auto"/>
      <w:tabs>
        <w:tab w:val="left" w:pos="720" w:leader="none"/>
      </w:tabs>
    </w:pPr>
    <w:rPr>
      <w:rFonts w:ascii="Times New Roman" w:hAnsi="Times New Roman"/>
      <w:sz w:val="24"/>
      <w:szCs w:val="20"/>
    </w:rPr>
  </w:style>
  <w:style w:type="paragraph" w:styleId="1562">
    <w:name w:val="xl47"/>
    <w:basedOn w:val="1131"/>
    <w:next w:val="1562"/>
    <w:link w:val="1131"/>
    <w:qFormat/>
    <w:pPr>
      <w:jc w:val="center"/>
      <w:spacing w:before="100" w:beforeAutospacing="1" w:after="100" w:afterAutospacing="1"/>
      <w:widowControl/>
    </w:pPr>
    <w:rPr>
      <w:rFonts w:hint="eastAsia" w:ascii="黑体" w:hAnsi="Arial Unicode MS" w:eastAsia="黑体"/>
      <w:b/>
      <w:bCs/>
      <w:sz w:val="24"/>
      <w:szCs w:val="24"/>
    </w:rPr>
  </w:style>
  <w:style w:type="paragraph" w:styleId="1563">
    <w:name w:val="xl68"/>
    <w:basedOn w:val="1131"/>
    <w:next w:val="1563"/>
    <w:link w:val="11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64">
    <w:name w:val="Char11"/>
    <w:basedOn w:val="1131"/>
    <w:next w:val="1564"/>
    <w:link w:val="1131"/>
    <w:qFormat/>
    <w:rPr>
      <w:rFonts w:ascii="仿宋_GB2312" w:hAnsi="Times New Roman" w:eastAsia="仿宋_GB2312"/>
      <w:b/>
      <w:sz w:val="32"/>
      <w:szCs w:val="32"/>
    </w:rPr>
  </w:style>
  <w:style w:type="paragraph" w:styleId="1565">
    <w:name w:val="xl39"/>
    <w:basedOn w:val="1131"/>
    <w:next w:val="1565"/>
    <w:link w:val="11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paragraph" w:styleId="1566">
    <w:name w:val="xl70"/>
    <w:basedOn w:val="1131"/>
    <w:next w:val="1566"/>
    <w:link w:val="113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567">
    <w:name w:val="正文1"/>
    <w:basedOn w:val="1131"/>
    <w:next w:val="1567"/>
    <w:link w:val="1131"/>
    <w:qFormat/>
    <w:rPr>
      <w:sz w:val="28"/>
    </w:rPr>
  </w:style>
  <w:style w:type="paragraph" w:styleId="1568">
    <w:name w:val="正文缩进2"/>
    <w:next w:val="1568"/>
    <w:link w:val="1131"/>
    <w:qFormat/>
    <w:pPr>
      <w:ind w:firstLine="420"/>
      <w:jc w:val="both"/>
      <w:widowControl w:val="off"/>
    </w:pPr>
    <w:rPr>
      <w:rFonts w:ascii="Arial Unicode MS" w:hAnsi="Arial Unicode MS" w:eastAsia="Times New Roman" w:cs="Arial Unicode MS"/>
      <w:color w:val="000000"/>
      <w:sz w:val="21"/>
      <w:szCs w:val="21"/>
      <w:lang w:val="en-US" w:eastAsia="zh-CN" w:bidi="ar-SA"/>
    </w:rPr>
  </w:style>
  <w:style w:type="paragraph" w:styleId="1569">
    <w:name w:val="_Style 4"/>
    <w:basedOn w:val="1131"/>
    <w:next w:val="1569"/>
    <w:link w:val="1131"/>
    <w:uiPriority w:val="34"/>
    <w:qFormat/>
    <w:pPr>
      <w:ind w:firstLine="420"/>
    </w:pPr>
  </w:style>
  <w:style w:type="paragraph" w:styleId="1570">
    <w:name w:val="五级条标题"/>
    <w:basedOn w:val="1571"/>
    <w:next w:val="1526"/>
    <w:link w:val="1131"/>
    <w:qFormat/>
    <w:pPr>
      <w:outlineLvl w:val="6"/>
    </w:pPr>
  </w:style>
  <w:style w:type="paragraph" w:styleId="1571">
    <w:name w:val="四级条标题"/>
    <w:basedOn w:val="1572"/>
    <w:next w:val="1526"/>
    <w:link w:val="1131"/>
    <w:qFormat/>
    <w:pPr>
      <w:outlineLvl w:val="5"/>
    </w:pPr>
  </w:style>
  <w:style w:type="paragraph" w:styleId="1572">
    <w:name w:val="三级条标题"/>
    <w:basedOn w:val="1573"/>
    <w:next w:val="1526"/>
    <w:link w:val="1131"/>
    <w:qFormat/>
    <w:pPr>
      <w:outlineLvl w:val="4"/>
    </w:pPr>
  </w:style>
  <w:style w:type="paragraph" w:styleId="1573">
    <w:name w:val="二级条标题"/>
    <w:basedOn w:val="1574"/>
    <w:next w:val="1526"/>
    <w:link w:val="1131"/>
    <w:qFormat/>
    <w:pPr>
      <w:outlineLvl w:val="3"/>
    </w:pPr>
  </w:style>
  <w:style w:type="paragraph" w:styleId="1574">
    <w:name w:val="一级条标题"/>
    <w:basedOn w:val="1575"/>
    <w:next w:val="1526"/>
    <w:link w:val="1131"/>
    <w:qFormat/>
    <w:pPr>
      <w:outlineLvl w:val="2"/>
    </w:pPr>
    <w:rPr>
      <w:rFonts w:eastAsia="黑体"/>
      <w:sz w:val="21"/>
      <w:lang w:val="en-US" w:eastAsia="zh-CN" w:bidi="ar-SA"/>
    </w:rPr>
  </w:style>
  <w:style w:type="paragraph" w:styleId="1575">
    <w:name w:val="章标题"/>
    <w:next w:val="1526"/>
    <w:link w:val="1131"/>
    <w:qFormat/>
    <w:pPr>
      <w:jc w:val="both"/>
      <w:outlineLvl w:val="1"/>
    </w:pPr>
    <w:rPr>
      <w:rFonts w:ascii="黑体" w:eastAsia="黑体"/>
      <w:sz w:val="21"/>
      <w:lang w:val="en-US" w:eastAsia="zh-CN" w:bidi="ar-SA"/>
    </w:rPr>
  </w:style>
  <w:style w:type="paragraph" w:styleId="1576">
    <w:name w:val="样式 行距: 1.5 倍行距"/>
    <w:basedOn w:val="1131"/>
    <w:next w:val="1576"/>
    <w:link w:val="1131"/>
    <w:qFormat/>
    <w:pPr>
      <w:spacing w:line="360" w:lineRule="auto"/>
    </w:pPr>
    <w:rPr>
      <w:rFonts w:ascii="宋体" w:hAnsi="宋体"/>
      <w:bCs/>
      <w:sz w:val="28"/>
      <w:szCs w:val="20"/>
    </w:rPr>
  </w:style>
  <w:style w:type="paragraph" w:styleId="1577">
    <w:name w:val="xl24"/>
    <w:basedOn w:val="1131"/>
    <w:next w:val="1577"/>
    <w:link w:val="1131"/>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78">
    <w:name w:val="Normal_0_0"/>
    <w:next w:val="1578"/>
    <w:link w:val="1131"/>
    <w:qFormat/>
    <w:rPr>
      <w:rFonts w:eastAsia="Times New Roman"/>
      <w:sz w:val="24"/>
      <w:szCs w:val="24"/>
      <w:lang w:val="en-US" w:eastAsia="zh-CN" w:bidi="ar-SA"/>
    </w:rPr>
  </w:style>
  <w:style w:type="paragraph" w:styleId="1579">
    <w:name w:val="xl27"/>
    <w:basedOn w:val="1131"/>
    <w:next w:val="1579"/>
    <w:link w:val="1131"/>
    <w:qFormat/>
    <w:pPr>
      <w:jc w:val="left"/>
      <w:spacing w:before="100" w:beforeAutospacing="1" w:after="100" w:afterAutospacing="1"/>
      <w:widowControl/>
    </w:pPr>
    <w:rPr>
      <w:rFonts w:ascii="Tahoma" w:hAnsi="Tahoma" w:eastAsia="Arial Unicode MS" w:cs="Tahoma"/>
      <w:sz w:val="16"/>
      <w:szCs w:val="16"/>
    </w:rPr>
  </w:style>
  <w:style w:type="paragraph" w:styleId="1580">
    <w:name w:val="正文（缩进）"/>
    <w:basedOn w:val="1131"/>
    <w:next w:val="1580"/>
    <w:link w:val="1131"/>
    <w:qFormat/>
    <w:pPr>
      <w:ind w:firstLine="480"/>
      <w:spacing w:line="360" w:lineRule="auto"/>
    </w:pPr>
    <w:rPr>
      <w:rFonts w:ascii="Times New Roman" w:hAnsi="Times New Roman"/>
      <w:sz w:val="24"/>
      <w:szCs w:val="24"/>
    </w:rPr>
  </w:style>
  <w:style w:type="paragraph" w:styleId="1581">
    <w:name w:val="GP正文(首行缩进)"/>
    <w:basedOn w:val="1131"/>
    <w:next w:val="1581"/>
    <w:link w:val="1131"/>
    <w:qFormat/>
    <w:pPr>
      <w:ind w:firstLine="200"/>
      <w:spacing w:line="360" w:lineRule="auto"/>
    </w:pPr>
    <w:rPr>
      <w:rFonts w:ascii="Times New Roman" w:hAnsi="Times New Roman"/>
      <w:sz w:val="24"/>
      <w:szCs w:val="21"/>
    </w:rPr>
  </w:style>
  <w:style w:type="paragraph" w:styleId="1582">
    <w:name w:val="列出段落3"/>
    <w:basedOn w:val="1131"/>
    <w:next w:val="1582"/>
    <w:link w:val="1131"/>
    <w:uiPriority w:val="34"/>
    <w:qFormat/>
    <w:pPr>
      <w:ind w:firstLine="420"/>
      <w:jc w:val="left"/>
      <w:widowControl/>
    </w:pPr>
    <w:rPr>
      <w:rFonts w:ascii="Times New Roman" w:hAnsi="Times New Roman"/>
      <w:sz w:val="20"/>
      <w:szCs w:val="20"/>
      <w:lang w:eastAsia="en-US"/>
    </w:rPr>
  </w:style>
  <w:style w:type="paragraph" w:styleId="1583">
    <w:name w:val="font9"/>
    <w:basedOn w:val="1131"/>
    <w:next w:val="1583"/>
    <w:link w:val="1131"/>
    <w:qFormat/>
    <w:pPr>
      <w:jc w:val="left"/>
      <w:spacing w:before="100" w:beforeAutospacing="1" w:after="100" w:afterAutospacing="1"/>
      <w:widowControl/>
    </w:pPr>
    <w:rPr>
      <w:rFonts w:ascii="Times New Roman" w:hAnsi="Times New Roman" w:eastAsia="Arial Unicode MS"/>
      <w:sz w:val="20"/>
      <w:szCs w:val="20"/>
    </w:rPr>
  </w:style>
  <w:style w:type="paragraph" w:styleId="1584">
    <w:name w:val="xl25"/>
    <w:basedOn w:val="1131"/>
    <w:next w:val="1584"/>
    <w:link w:val="1131"/>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85">
    <w:name w:val="Heading 1 前言"/>
    <w:next w:val="1131"/>
    <w:link w:val="1131"/>
    <w:qFormat/>
    <w:pPr>
      <w:jc w:val="center"/>
    </w:pPr>
    <w:rPr>
      <w:rFonts w:ascii="黑体" w:hAnsi="黑体" w:eastAsia="黑体"/>
      <w:b/>
      <w:bCs/>
      <w:sz w:val="32"/>
      <w:lang w:val="en-US" w:eastAsia="zh-CN" w:bidi="ar-SA"/>
    </w:rPr>
  </w:style>
  <w:style w:type="paragraph" w:styleId="1586">
    <w:name w:val="xl50"/>
    <w:basedOn w:val="1131"/>
    <w:next w:val="1586"/>
    <w:link w:val="11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587">
    <w:name w:val="图5"/>
    <w:basedOn w:val="1131"/>
    <w:next w:val="1587"/>
    <w:link w:val="1131"/>
    <w:qFormat/>
    <w:pPr>
      <w:jc w:val="center"/>
      <w:spacing w:line="220" w:lineRule="exact"/>
    </w:pPr>
    <w:rPr>
      <w:rFonts w:ascii="仿宋_GB2312" w:hAnsi="Times New Roman" w:eastAsia="仿宋_GB2312"/>
      <w:szCs w:val="20"/>
    </w:rPr>
  </w:style>
  <w:style w:type="paragraph" w:styleId="1588">
    <w:name w:val="xl28"/>
    <w:basedOn w:val="1131"/>
    <w:next w:val="1588"/>
    <w:link w:val="1131"/>
    <w:qFormat/>
    <w:pPr>
      <w:jc w:val="left"/>
      <w:spacing w:before="100" w:beforeAutospacing="1" w:after="100" w:afterAutospacing="1"/>
      <w:widowControl/>
    </w:pPr>
    <w:rPr>
      <w:rFonts w:ascii="Tahoma" w:hAnsi="Tahoma" w:eastAsia="Arial Unicode MS" w:cs="Tahoma"/>
      <w:sz w:val="16"/>
      <w:szCs w:val="16"/>
    </w:rPr>
  </w:style>
  <w:style w:type="paragraph" w:styleId="1589">
    <w:name w:val="Normal_9"/>
    <w:next w:val="1589"/>
    <w:link w:val="1131"/>
    <w:qFormat/>
    <w:rPr>
      <w:rFonts w:eastAsia="Times New Roman"/>
      <w:sz w:val="24"/>
      <w:szCs w:val="24"/>
      <w:lang w:val="en-US" w:eastAsia="zh-CN" w:bidi="ar-SA"/>
    </w:rPr>
  </w:style>
  <w:style w:type="paragraph" w:styleId="1590">
    <w:name w:val="Char Char Char Char"/>
    <w:basedOn w:val="1131"/>
    <w:next w:val="1590"/>
    <w:link w:val="1131"/>
    <w:qFormat/>
    <w:rPr>
      <w:rFonts w:ascii="Tahoma" w:hAnsi="Tahoma"/>
      <w:sz w:val="24"/>
      <w:szCs w:val="20"/>
    </w:rPr>
  </w:style>
  <w:style w:type="paragraph" w:styleId="1591">
    <w:name w:val="图表目录1"/>
    <w:basedOn w:val="1395"/>
    <w:next w:val="1591"/>
    <w:link w:val="1131"/>
    <w:qFormat/>
    <w:pPr>
      <w:jc w:val="center"/>
      <w:spacing w:after="120" w:line="360" w:lineRule="auto"/>
    </w:pPr>
    <w:rPr>
      <w:rFonts w:ascii="楷体"/>
      <w:sz w:val="28"/>
    </w:rPr>
  </w:style>
  <w:style w:type="paragraph" w:styleId="1592">
    <w:name w:val="正文４"/>
    <w:basedOn w:val="1131"/>
    <w:next w:val="1592"/>
    <w:link w:val="1131"/>
    <w:qFormat/>
    <w:pPr>
      <w:ind w:firstLine="480"/>
      <w:spacing w:line="360" w:lineRule="auto"/>
    </w:pPr>
    <w:rPr>
      <w:rFonts w:ascii="Times New Roman" w:hAnsi="Times New Roman"/>
      <w:sz w:val="24"/>
      <w:szCs w:val="20"/>
    </w:rPr>
  </w:style>
  <w:style w:type="paragraph" w:styleId="1593">
    <w:name w:val="xl72"/>
    <w:basedOn w:val="1131"/>
    <w:next w:val="1593"/>
    <w:link w:val="11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94">
    <w:name w:val="xl64"/>
    <w:basedOn w:val="1131"/>
    <w:next w:val="1594"/>
    <w:link w:val="1131"/>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95">
    <w:name w:val="Normal_1_0"/>
    <w:next w:val="1595"/>
    <w:link w:val="1131"/>
    <w:qFormat/>
    <w:rPr>
      <w:rFonts w:eastAsia="Times New Roman"/>
      <w:sz w:val="24"/>
      <w:szCs w:val="24"/>
      <w:lang w:val="en-US" w:eastAsia="zh-CN" w:bidi="ar-SA"/>
    </w:rPr>
  </w:style>
  <w:style w:type="paragraph" w:styleId="1596">
    <w:name w:val="Normal_5"/>
    <w:next w:val="1596"/>
    <w:link w:val="1131"/>
    <w:qFormat/>
    <w:rPr>
      <w:rFonts w:eastAsia="Times New Roman"/>
      <w:sz w:val="24"/>
      <w:szCs w:val="24"/>
      <w:lang w:val="en-US" w:eastAsia="zh-CN" w:bidi="ar-SA"/>
    </w:rPr>
  </w:style>
  <w:style w:type="paragraph" w:styleId="1597">
    <w:name w:val="xl67"/>
    <w:basedOn w:val="1131"/>
    <w:next w:val="1597"/>
    <w:link w:val="11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98">
    <w:name w:val="日期1"/>
    <w:basedOn w:val="1131"/>
    <w:next w:val="1131"/>
    <w:link w:val="1131"/>
    <w:qFormat/>
    <w:pPr>
      <w:jc w:val="right"/>
      <w:spacing w:line="312" w:lineRule="atLeast"/>
    </w:pPr>
    <w:rPr>
      <w:rFonts w:ascii="黑体" w:hAnsi="Times New Roman" w:eastAsia="黑体"/>
      <w:b/>
      <w:sz w:val="32"/>
      <w:szCs w:val="20"/>
    </w:rPr>
  </w:style>
  <w:style w:type="paragraph" w:styleId="1599">
    <w:name w:val="xl54"/>
    <w:basedOn w:val="1131"/>
    <w:next w:val="1599"/>
    <w:link w:val="11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00">
    <w:name w:val="Style Heading 2 节 + Before:  0.35 line After:  0.35 line"/>
    <w:basedOn w:val="1601"/>
    <w:next w:val="1600"/>
    <w:link w:val="1131"/>
    <w:qFormat/>
    <w:pPr>
      <w:ind w:left="0" w:firstLine="0"/>
      <w:spacing w:before="109" w:after="109"/>
      <w:tabs>
        <w:tab w:val="left" w:pos="1680" w:leader="none"/>
      </w:tabs>
    </w:pPr>
    <w:rPr>
      <w:szCs w:val="20"/>
    </w:rPr>
  </w:style>
  <w:style w:type="paragraph" w:styleId="1601">
    <w:name w:val="Heading 2 节"/>
    <w:next w:val="1131"/>
    <w:link w:val="1131"/>
    <w:qFormat/>
    <w:pPr>
      <w:ind w:left="1680" w:hanging="420"/>
      <w:jc w:val="center"/>
      <w:spacing w:line="440" w:lineRule="exact"/>
      <w:tabs>
        <w:tab w:val="left" w:pos="1680" w:leader="none"/>
      </w:tabs>
    </w:pPr>
    <w:rPr>
      <w:rFonts w:eastAsia="黑体"/>
      <w:b/>
      <w:bCs/>
      <w:sz w:val="28"/>
      <w:szCs w:val="28"/>
      <w:lang w:val="en-US" w:eastAsia="zh-CN" w:bidi="ar-SA"/>
    </w:rPr>
  </w:style>
  <w:style w:type="paragraph" w:styleId="1602">
    <w:name w:val="Normal_4"/>
    <w:next w:val="1602"/>
    <w:link w:val="1131"/>
    <w:qFormat/>
    <w:rPr>
      <w:rFonts w:eastAsia="Times New Roman"/>
      <w:sz w:val="24"/>
      <w:szCs w:val="24"/>
      <w:lang w:val="en-US" w:eastAsia="zh-CN" w:bidi="ar-SA"/>
    </w:rPr>
  </w:style>
  <w:style w:type="paragraph" w:styleId="1603">
    <w:name w:val="font13"/>
    <w:basedOn w:val="1131"/>
    <w:next w:val="1603"/>
    <w:link w:val="1131"/>
    <w:qFormat/>
    <w:pPr>
      <w:jc w:val="left"/>
      <w:spacing w:before="100" w:beforeAutospacing="1" w:after="100" w:afterAutospacing="1"/>
      <w:widowControl/>
    </w:pPr>
    <w:rPr>
      <w:rFonts w:hint="eastAsia" w:ascii="宋体" w:hAnsi="宋体"/>
      <w:b/>
      <w:bCs/>
      <w:sz w:val="20"/>
      <w:szCs w:val="20"/>
    </w:rPr>
  </w:style>
  <w:style w:type="paragraph" w:styleId="1604">
    <w:name w:val="列出段落31"/>
    <w:basedOn w:val="1131"/>
    <w:next w:val="1604"/>
    <w:link w:val="1131"/>
    <w:uiPriority w:val="99"/>
    <w:qFormat/>
    <w:pPr>
      <w:ind w:firstLine="420"/>
    </w:pPr>
    <w:rPr>
      <w:rFonts w:ascii="Times New Roman" w:hAnsi="Times New Roman"/>
      <w:szCs w:val="20"/>
    </w:rPr>
  </w:style>
  <w:style w:type="paragraph" w:styleId="1605">
    <w:name w:val="点序列"/>
    <w:basedOn w:val="1131"/>
    <w:next w:val="1605"/>
    <w:link w:val="1131"/>
    <w:qFormat/>
    <w:pPr>
      <w:ind w:left="1412" w:hanging="420"/>
      <w:jc w:val="left"/>
      <w:spacing w:line="400" w:lineRule="atLeast"/>
      <w:widowControl/>
      <w:tabs>
        <w:tab w:val="left" w:pos="360" w:leader="none"/>
        <w:tab w:val="left" w:pos="1412" w:leader="none"/>
      </w:tabs>
    </w:pPr>
    <w:rPr>
      <w:rFonts w:ascii="Times New Roman" w:hAnsi="Times New Roman"/>
      <w:sz w:val="24"/>
      <w:szCs w:val="24"/>
    </w:rPr>
  </w:style>
  <w:style w:type="paragraph" w:styleId="1606">
    <w:name w:val="font11"/>
    <w:basedOn w:val="1131"/>
    <w:next w:val="1606"/>
    <w:link w:val="1131"/>
    <w:qFormat/>
    <w:pPr>
      <w:jc w:val="left"/>
      <w:spacing w:before="100" w:beforeAutospacing="1" w:after="100" w:afterAutospacing="1"/>
      <w:widowControl/>
    </w:pPr>
    <w:rPr>
      <w:rFonts w:hint="eastAsia" w:ascii="宋体" w:hAnsi="宋体"/>
      <w:sz w:val="20"/>
      <w:szCs w:val="20"/>
    </w:rPr>
  </w:style>
  <w:style w:type="paragraph" w:styleId="1607">
    <w:name w:val="xl55"/>
    <w:basedOn w:val="1131"/>
    <w:next w:val="1607"/>
    <w:link w:val="11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608">
    <w:name w:val="xl33"/>
    <w:basedOn w:val="1131"/>
    <w:next w:val="1608"/>
    <w:link w:val="11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09">
    <w:name w:val="Char2"/>
    <w:basedOn w:val="1131"/>
    <w:next w:val="1609"/>
    <w:link w:val="1131"/>
    <w:qFormat/>
    <w:pPr>
      <w:jc w:val="left"/>
      <w:spacing w:after="160" w:line="240" w:lineRule="exact"/>
      <w:widowControl/>
    </w:pPr>
    <w:rPr>
      <w:rFonts w:ascii="Verdana" w:hAnsi="Verdana"/>
      <w:sz w:val="20"/>
      <w:szCs w:val="20"/>
      <w:lang w:eastAsia="en-US"/>
    </w:rPr>
  </w:style>
  <w:style w:type="paragraph" w:styleId="1610">
    <w:name w:val="xl76"/>
    <w:basedOn w:val="1131"/>
    <w:next w:val="1610"/>
    <w:link w:val="113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11">
    <w:name w:val="Normal_0"/>
    <w:next w:val="1611"/>
    <w:link w:val="1131"/>
    <w:qFormat/>
    <w:pPr>
      <w:jc w:val="both"/>
    </w:pPr>
    <w:rPr>
      <w:sz w:val="21"/>
      <w:szCs w:val="21"/>
      <w:lang w:val="en-US" w:eastAsia="zh-CN" w:bidi="ar-SA"/>
    </w:rPr>
  </w:style>
  <w:style w:type="paragraph" w:styleId="1612">
    <w:name w:val="文字"/>
    <w:basedOn w:val="1131"/>
    <w:next w:val="1612"/>
    <w:link w:val="1131"/>
    <w:qFormat/>
    <w:pPr>
      <w:ind w:right="-210" w:firstLine="556"/>
      <w:spacing w:line="312" w:lineRule="auto"/>
      <w:tabs>
        <w:tab w:val="left" w:pos="8520" w:leader="none"/>
      </w:tabs>
    </w:pPr>
    <w:rPr>
      <w:rFonts w:ascii="楷体_GB2312" w:hAnsi="Times New Roman" w:eastAsia="楷体_GB2312"/>
      <w:sz w:val="28"/>
      <w:szCs w:val="20"/>
    </w:rPr>
  </w:style>
  <w:style w:type="paragraph" w:styleId="1613">
    <w:name w:val="Style First line:  2 ch"/>
    <w:basedOn w:val="1131"/>
    <w:next w:val="1613"/>
    <w:link w:val="1131"/>
    <w:qFormat/>
    <w:pPr>
      <w:ind w:firstLine="200"/>
      <w:spacing w:line="440" w:lineRule="exact"/>
    </w:pPr>
    <w:rPr>
      <w:rFonts w:ascii="Times New Roman" w:hAnsi="Times New Roman"/>
      <w:sz w:val="24"/>
      <w:szCs w:val="24"/>
    </w:rPr>
  </w:style>
  <w:style w:type="paragraph" w:styleId="1614">
    <w:name w:val="Normal_13"/>
    <w:next w:val="1614"/>
    <w:link w:val="1131"/>
    <w:qFormat/>
    <w:rPr>
      <w:rFonts w:eastAsia="Times New Roman"/>
      <w:sz w:val="24"/>
      <w:szCs w:val="24"/>
      <w:lang w:val="en-US" w:eastAsia="zh-CN" w:bidi="ar-SA"/>
    </w:rPr>
  </w:style>
  <w:style w:type="paragraph" w:styleId="1615">
    <w:name w:val="Char"/>
    <w:basedOn w:val="1131"/>
    <w:next w:val="1615"/>
    <w:link w:val="1131"/>
    <w:qFormat/>
    <w:pPr>
      <w:jc w:val="left"/>
      <w:spacing w:after="160" w:line="240" w:lineRule="exact"/>
      <w:widowControl/>
    </w:pPr>
    <w:rPr>
      <w:rFonts w:ascii="Verdana" w:hAnsi="Verdana" w:eastAsia="仿宋_GB2312"/>
      <w:sz w:val="24"/>
      <w:szCs w:val="20"/>
      <w:lang w:eastAsia="en-US"/>
    </w:rPr>
  </w:style>
  <w:style w:type="paragraph" w:styleId="1616">
    <w:name w:val="Normal_2"/>
    <w:next w:val="1616"/>
    <w:link w:val="1131"/>
    <w:qFormat/>
    <w:rPr>
      <w:rFonts w:eastAsia="Times New Roman"/>
      <w:sz w:val="24"/>
      <w:szCs w:val="24"/>
      <w:lang w:val="en-US" w:eastAsia="zh-CN" w:bidi="ar-SA"/>
    </w:rPr>
  </w:style>
  <w:style w:type="paragraph" w:styleId="1617">
    <w:name w:val="xl73"/>
    <w:basedOn w:val="1131"/>
    <w:next w:val="1617"/>
    <w:link w:val="11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18">
    <w:name w:val="xl63"/>
    <w:basedOn w:val="1131"/>
    <w:next w:val="1618"/>
    <w:link w:val="11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19">
    <w:name w:val="Normal_1"/>
    <w:next w:val="1619"/>
    <w:link w:val="1131"/>
    <w:qFormat/>
    <w:rPr>
      <w:rFonts w:eastAsia="Times New Roman"/>
      <w:sz w:val="24"/>
      <w:szCs w:val="24"/>
      <w:lang w:val="en-US" w:eastAsia="zh-CN" w:bidi="ar-SA"/>
    </w:rPr>
  </w:style>
  <w:style w:type="paragraph" w:styleId="1620">
    <w:name w:val="Default"/>
    <w:next w:val="1620"/>
    <w:link w:val="1131"/>
    <w:qFormat/>
    <w:pPr>
      <w:widowControl w:val="off"/>
    </w:pPr>
    <w:rPr>
      <w:rFonts w:ascii="黑体" w:eastAsia="黑体"/>
      <w:lang w:val="en-US" w:eastAsia="zh-CN" w:bidi="ar-SA"/>
    </w:rPr>
  </w:style>
  <w:style w:type="paragraph" w:styleId="1621">
    <w:name w:val="Char1 Char Char Char"/>
    <w:basedOn w:val="1131"/>
    <w:next w:val="1621"/>
    <w:link w:val="1131"/>
    <w:qFormat/>
    <w:rPr>
      <w:rFonts w:ascii="Times New Roman" w:hAnsi="Times New Roman"/>
      <w:szCs w:val="24"/>
    </w:rPr>
  </w:style>
  <w:style w:type="paragraph" w:styleId="1622">
    <w:name w:val="默认"/>
    <w:next w:val="1622"/>
    <w:link w:val="1131"/>
    <w:qFormat/>
    <w:rPr>
      <w:rFonts w:ascii="Helvetica" w:hAnsi="Helvetica" w:eastAsia="Helvetica" w:cs="Helvetica"/>
      <w:color w:val="000000"/>
      <w:sz w:val="22"/>
      <w:szCs w:val="22"/>
      <w:lang w:val="en-US" w:eastAsia="zh-CN" w:bidi="ar-SA"/>
    </w:rPr>
  </w:style>
  <w:style w:type="paragraph" w:styleId="1623">
    <w:name w:val="Normal_12"/>
    <w:next w:val="1623"/>
    <w:link w:val="1131"/>
    <w:qFormat/>
    <w:pPr>
      <w:jc w:val="both"/>
      <w:widowControl w:val="off"/>
    </w:pPr>
    <w:rPr>
      <w:sz w:val="21"/>
      <w:szCs w:val="24"/>
      <w:lang w:val="en-US" w:eastAsia="zh-CN" w:bidi="ar-SA"/>
    </w:rPr>
  </w:style>
  <w:style w:type="paragraph" w:styleId="1624">
    <w:name w:val="无间隔1"/>
    <w:next w:val="1624"/>
    <w:link w:val="1131"/>
    <w:qFormat/>
    <w:pPr>
      <w:jc w:val="both"/>
      <w:widowControl w:val="off"/>
    </w:pPr>
    <w:rPr>
      <w:sz w:val="21"/>
      <w:lang w:val="en-US" w:eastAsia="zh-CN" w:bidi="ar-SA"/>
    </w:rPr>
  </w:style>
  <w:style w:type="paragraph" w:styleId="1625">
    <w:name w:val="Normal_15"/>
    <w:next w:val="1625"/>
    <w:link w:val="1131"/>
    <w:qFormat/>
    <w:rPr>
      <w:rFonts w:eastAsia="Times New Roman"/>
      <w:sz w:val="24"/>
      <w:szCs w:val="24"/>
      <w:lang w:val="en-US" w:eastAsia="zh-CN" w:bidi="ar-SA"/>
    </w:rPr>
  </w:style>
  <w:style w:type="paragraph" w:styleId="1626">
    <w:name w:val="l18"/>
    <w:basedOn w:val="1131"/>
    <w:next w:val="1626"/>
    <w:link w:val="1131"/>
    <w:qFormat/>
    <w:pPr>
      <w:ind w:firstLine="400"/>
      <w:jc w:val="left"/>
      <w:spacing w:before="100" w:beforeAutospacing="1" w:after="100" w:afterAutospacing="1" w:line="408" w:lineRule="auto"/>
      <w:widowControl/>
    </w:pPr>
    <w:rPr>
      <w:rFonts w:ascii="宋体" w:hAnsi="宋体"/>
      <w:color w:val="000000"/>
      <w:szCs w:val="21"/>
    </w:rPr>
  </w:style>
  <w:style w:type="paragraph" w:styleId="1627">
    <w:name w:val="Normal_3"/>
    <w:next w:val="1627"/>
    <w:link w:val="1131"/>
    <w:qFormat/>
    <w:rPr>
      <w:rFonts w:eastAsia="Times New Roman"/>
      <w:sz w:val="24"/>
      <w:szCs w:val="24"/>
      <w:lang w:val="en-US" w:eastAsia="zh-CN" w:bidi="ar-SA"/>
    </w:rPr>
  </w:style>
  <w:style w:type="paragraph" w:styleId="1628">
    <w:name w:val="Normal_8"/>
    <w:next w:val="1628"/>
    <w:link w:val="1131"/>
    <w:qFormat/>
    <w:rPr>
      <w:rFonts w:eastAsia="Times New Roman"/>
      <w:sz w:val="24"/>
      <w:szCs w:val="24"/>
      <w:lang w:val="en-US" w:eastAsia="zh-CN" w:bidi="ar-SA"/>
    </w:rPr>
  </w:style>
  <w:style w:type="paragraph" w:styleId="1629">
    <w:name w:val="标准"/>
    <w:basedOn w:val="1131"/>
    <w:next w:val="1629"/>
    <w:link w:val="1131"/>
    <w:qFormat/>
    <w:pPr>
      <w:spacing w:line="240" w:lineRule="atLeast"/>
    </w:pPr>
    <w:rPr>
      <w:rFonts w:ascii="Times New Roman" w:hAnsi="Times New Roman" w:eastAsia="楷体_GB2312"/>
      <w:sz w:val="24"/>
      <w:szCs w:val="20"/>
    </w:rPr>
  </w:style>
  <w:style w:type="paragraph" w:styleId="1630">
    <w:name w:val="Normal_11"/>
    <w:next w:val="1630"/>
    <w:link w:val="1131"/>
    <w:qFormat/>
    <w:rPr>
      <w:rFonts w:eastAsia="Times New Roman"/>
      <w:sz w:val="24"/>
      <w:szCs w:val="24"/>
      <w:lang w:val="en-US" w:eastAsia="zh-CN" w:bidi="ar-SA"/>
    </w:rPr>
  </w:style>
  <w:style w:type="paragraph" w:styleId="1631">
    <w:name w:val="xl71"/>
    <w:basedOn w:val="1131"/>
    <w:next w:val="1631"/>
    <w:link w:val="11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632">
    <w:name w:val="xl56"/>
    <w:basedOn w:val="1131"/>
    <w:next w:val="1632"/>
    <w:link w:val="11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olor w:val="000000"/>
      <w:sz w:val="20"/>
      <w:szCs w:val="20"/>
    </w:rPr>
  </w:style>
  <w:style w:type="paragraph" w:styleId="1633">
    <w:name w:val="_Style 2"/>
    <w:basedOn w:val="1331"/>
    <w:next w:val="1131"/>
    <w:link w:val="1131"/>
    <w:uiPriority w:val="39"/>
    <w:qFormat/>
    <w:pPr>
      <w:jc w:val="left"/>
      <w:keepLines/>
      <w:spacing w:before="480" w:line="276" w:lineRule="auto"/>
      <w:widowControl/>
      <w:outlineLvl w:val="9"/>
    </w:pPr>
    <w:rPr>
      <w:rFonts w:ascii="Cambria" w:hAnsi="Cambria" w:eastAsia="宋体"/>
      <w:bCs/>
      <w:color w:val="365f91"/>
      <w:szCs w:val="28"/>
    </w:rPr>
  </w:style>
  <w:style w:type="paragraph" w:styleId="1634">
    <w:name w:val="xl30"/>
    <w:basedOn w:val="1131"/>
    <w:next w:val="1634"/>
    <w:link w:val="1131"/>
    <w:qFormat/>
    <w:pPr>
      <w:jc w:val="center"/>
      <w:spacing w:before="100" w:beforeAutospacing="1" w:after="100" w:afterAutospacing="1"/>
      <w:widowControl/>
    </w:pPr>
    <w:rPr>
      <w:rFonts w:hint="eastAsia" w:ascii="楷体_GB2312" w:hAnsi="宋体" w:eastAsia="楷体_GB2312"/>
      <w:sz w:val="72"/>
      <w:szCs w:val="72"/>
    </w:rPr>
  </w:style>
  <w:style w:type="paragraph" w:styleId="1635">
    <w:name w:val="Normal_7"/>
    <w:next w:val="1635"/>
    <w:link w:val="1131"/>
    <w:qFormat/>
    <w:rPr>
      <w:rFonts w:eastAsia="Times New Roman"/>
      <w:sz w:val="24"/>
      <w:szCs w:val="24"/>
      <w:lang w:val="en-US" w:eastAsia="zh-CN" w:bidi="ar-SA"/>
    </w:rPr>
  </w:style>
  <w:style w:type="paragraph" w:styleId="1636">
    <w:name w:val="font6"/>
    <w:basedOn w:val="1131"/>
    <w:next w:val="1636"/>
    <w:link w:val="1131"/>
    <w:qFormat/>
    <w:pPr>
      <w:jc w:val="left"/>
      <w:spacing w:before="100" w:beforeAutospacing="1" w:after="100" w:afterAutospacing="1"/>
      <w:widowControl/>
    </w:pPr>
    <w:rPr>
      <w:rFonts w:hint="eastAsia" w:ascii="黑体" w:hAnsi="Arial Unicode MS" w:eastAsia="黑体"/>
      <w:b/>
      <w:bCs/>
      <w:sz w:val="20"/>
      <w:szCs w:val="20"/>
    </w:rPr>
  </w:style>
  <w:style w:type="paragraph" w:styleId="1637">
    <w:name w:val="table_1stline"/>
    <w:basedOn w:val="1131"/>
    <w:next w:val="1637"/>
    <w:link w:val="1131"/>
    <w:qFormat/>
    <w:pPr>
      <w:jc w:val="left"/>
      <w:spacing w:before="120"/>
      <w:widowControl/>
    </w:pPr>
    <w:rPr>
      <w:rFonts w:ascii="Times New Roman" w:hAnsi="Times New Roman"/>
      <w:bCs/>
      <w:sz w:val="20"/>
      <w:szCs w:val="20"/>
      <w:lang w:val="de-DE" w:eastAsia="de-DE"/>
    </w:rPr>
  </w:style>
  <w:style w:type="paragraph" w:styleId="1638">
    <w:name w:val="正文顶格"/>
    <w:basedOn w:val="1131"/>
    <w:next w:val="1638"/>
    <w:link w:val="1131"/>
    <w:qFormat/>
    <w:pPr>
      <w:spacing w:line="400" w:lineRule="exact"/>
    </w:pPr>
    <w:rPr>
      <w:rFonts w:ascii="Times New Roman" w:hAnsi="Times New Roman"/>
      <w:sz w:val="24"/>
      <w:szCs w:val="20"/>
    </w:rPr>
  </w:style>
  <w:style w:type="paragraph" w:styleId="1639">
    <w:name w:val="正文_1"/>
    <w:next w:val="1639"/>
    <w:link w:val="1131"/>
    <w:qFormat/>
    <w:pPr>
      <w:jc w:val="both"/>
      <w:widowControl w:val="off"/>
    </w:pPr>
    <w:rPr>
      <w:sz w:val="21"/>
      <w:szCs w:val="22"/>
      <w:lang w:val="en-US" w:eastAsia="zh-CN" w:bidi="ar-SA"/>
    </w:rPr>
  </w:style>
  <w:style w:type="paragraph" w:styleId="1640">
    <w:name w:val="Style Heading 3H31.1.1标题 3Level 3 Headlevel_3PIM 3h3sect1.2...."/>
    <w:basedOn w:val="1337"/>
    <w:next w:val="1640"/>
    <w:link w:val="1131"/>
    <w:qFormat/>
    <w:pPr>
      <w:ind w:left="720" w:hanging="720"/>
      <w:spacing w:before="120" w:after="120" w:line="360" w:lineRule="auto"/>
    </w:pPr>
    <w:rPr>
      <w:rFonts w:eastAsia="黑体"/>
      <w:bCs/>
      <w:sz w:val="24"/>
    </w:rPr>
  </w:style>
  <w:style w:type="paragraph" w:styleId="1641">
    <w:name w:val="xl74"/>
    <w:basedOn w:val="1131"/>
    <w:next w:val="1641"/>
    <w:link w:val="11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42">
    <w:name w:val="Normal_10"/>
    <w:next w:val="1642"/>
    <w:link w:val="1131"/>
    <w:qFormat/>
    <w:pPr>
      <w:jc w:val="both"/>
      <w:widowControl w:val="off"/>
    </w:pPr>
    <w:rPr>
      <w:sz w:val="21"/>
      <w:szCs w:val="24"/>
      <w:lang w:val="en-US" w:eastAsia="zh-CN" w:bidi="ar-SA"/>
    </w:rPr>
  </w:style>
  <w:style w:type="paragraph" w:styleId="1643">
    <w:name w:val="正文_4"/>
    <w:next w:val="1643"/>
    <w:link w:val="1131"/>
    <w:qFormat/>
    <w:pPr>
      <w:jc w:val="both"/>
      <w:widowControl w:val="off"/>
    </w:pPr>
    <w:rPr>
      <w:sz w:val="21"/>
      <w:szCs w:val="22"/>
      <w:lang w:val="en-US" w:eastAsia="zh-CN" w:bidi="ar-SA"/>
    </w:rPr>
  </w:style>
  <w:style w:type="paragraph" w:styleId="1644">
    <w:name w:val="xl38"/>
    <w:basedOn w:val="1131"/>
    <w:next w:val="1644"/>
    <w:link w:val="11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2"/>
    </w:rPr>
  </w:style>
  <w:style w:type="paragraph" w:styleId="1645">
    <w:name w:val="正文缩进1"/>
    <w:basedOn w:val="1131"/>
    <w:next w:val="1645"/>
    <w:link w:val="1131"/>
    <w:qFormat/>
    <w:pPr>
      <w:ind w:firstLine="420"/>
    </w:pPr>
    <w:rPr>
      <w:rFonts w:ascii="Times New Roman" w:hAnsi="Times New Roman"/>
      <w:szCs w:val="24"/>
    </w:rPr>
  </w:style>
  <w:style w:type="paragraph" w:styleId="1646">
    <w:name w:val="标题4"/>
    <w:basedOn w:val="1337"/>
    <w:next w:val="1646"/>
    <w:link w:val="1131"/>
    <w:qFormat/>
    <w:pPr>
      <w:spacing w:before="120" w:after="0" w:line="400" w:lineRule="exact"/>
      <w:outlineLvl w:val="3"/>
    </w:pPr>
    <w:rPr>
      <w:rFonts w:eastAsia="黑体"/>
      <w:b w:val="0"/>
      <w:bCs/>
      <w:sz w:val="28"/>
      <w:szCs w:val="32"/>
    </w:rPr>
  </w:style>
  <w:style w:type="paragraph" w:styleId="1647">
    <w:name w:val="保留正文"/>
    <w:basedOn w:val="1380"/>
    <w:next w:val="1647"/>
    <w:link w:val="1131"/>
    <w:qFormat/>
    <w:pPr>
      <w:keepNext/>
      <w:spacing w:after="160"/>
    </w:pPr>
    <w:rPr>
      <w:rFonts w:ascii="Times New Roman" w:hAnsi="Times New Roman" w:eastAsia="宋体"/>
      <w:sz w:val="21"/>
      <w:szCs w:val="24"/>
    </w:rPr>
  </w:style>
  <w:style w:type="paragraph" w:styleId="1648">
    <w:name w:val="正文 A"/>
    <w:next w:val="1648"/>
    <w:link w:val="1131"/>
    <w:qFormat/>
    <w:pPr>
      <w:jc w:val="both"/>
      <w:widowControl w:val="off"/>
    </w:pPr>
    <w:rPr>
      <w:rFonts w:eastAsia="Times New Roman"/>
      <w:color w:val="000000"/>
      <w:sz w:val="28"/>
      <w:szCs w:val="28"/>
      <w:lang w:val="en-US" w:eastAsia="zh-CN" w:bidi="ar-SA"/>
    </w:rPr>
  </w:style>
  <w:style w:type="paragraph" w:styleId="1649">
    <w:name w:val="表号"/>
    <w:basedOn w:val="1131"/>
    <w:next w:val="1649"/>
    <w:link w:val="1131"/>
    <w:qFormat/>
    <w:pPr>
      <w:numPr>
        <w:ilvl w:val="0"/>
        <w:numId w:val="14"/>
      </w:numPr>
      <w:jc w:val="center"/>
      <w:spacing w:line="360" w:lineRule="auto"/>
      <w:widowControl/>
      <w:tabs>
        <w:tab w:val="left" w:pos="420" w:leader="none"/>
      </w:tabs>
    </w:pPr>
    <w:rPr>
      <w:rFonts w:ascii="Times New Roman" w:hAnsi="Times New Roman"/>
      <w:sz w:val="24"/>
      <w:szCs w:val="20"/>
    </w:rPr>
  </w:style>
  <w:style w:type="paragraph" w:styleId="1650">
    <w:name w:val="Char Char Char1"/>
    <w:basedOn w:val="1131"/>
    <w:next w:val="1650"/>
    <w:link w:val="1131"/>
    <w:qFormat/>
    <w:rPr>
      <w:rFonts w:ascii="Tahoma" w:hAnsi="Tahoma"/>
      <w:sz w:val="24"/>
      <w:szCs w:val="20"/>
    </w:rPr>
  </w:style>
  <w:style w:type="paragraph" w:styleId="1651">
    <w:name w:val="缺省文本"/>
    <w:basedOn w:val="1131"/>
    <w:next w:val="1651"/>
    <w:link w:val="1131"/>
    <w:qFormat/>
    <w:pPr>
      <w:jc w:val="left"/>
    </w:pPr>
    <w:rPr>
      <w:rFonts w:ascii="Times New Roman" w:hAnsi="Times New Roman"/>
      <w:sz w:val="24"/>
      <w:szCs w:val="24"/>
    </w:rPr>
  </w:style>
  <w:style w:type="paragraph" w:styleId="1652">
    <w:name w:val="东莞正文"/>
    <w:basedOn w:val="1131"/>
    <w:next w:val="1652"/>
    <w:link w:val="1131"/>
    <w:qFormat/>
    <w:pPr>
      <w:numPr>
        <w:ilvl w:val="1"/>
        <w:numId w:val="10"/>
      </w:numPr>
      <w:spacing w:line="360" w:lineRule="auto"/>
    </w:pPr>
    <w:rPr>
      <w:rFonts w:ascii="Arial" w:hAnsi="Arial" w:eastAsia="仿宋_GB2312" w:cs="宋体"/>
      <w:color w:val="000000"/>
      <w:sz w:val="24"/>
      <w:szCs w:val="20"/>
    </w:rPr>
  </w:style>
  <w:style w:type="paragraph" w:styleId="1653">
    <w:name w:val="日期2"/>
    <w:basedOn w:val="1131"/>
    <w:next w:val="1131"/>
    <w:link w:val="1131"/>
    <w:qFormat/>
    <w:pPr>
      <w:jc w:val="right"/>
      <w:spacing w:line="312" w:lineRule="atLeast"/>
    </w:pPr>
    <w:rPr>
      <w:rFonts w:ascii="黑体" w:hAnsi="Times New Roman" w:eastAsia="黑体"/>
      <w:b/>
      <w:sz w:val="32"/>
      <w:szCs w:val="20"/>
    </w:rPr>
  </w:style>
  <w:style w:type="paragraph" w:styleId="1654">
    <w:name w:val="xl26"/>
    <w:basedOn w:val="1131"/>
    <w:next w:val="1654"/>
    <w:link w:val="1131"/>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55">
    <w:name w:val="xl62"/>
    <w:basedOn w:val="1131"/>
    <w:next w:val="1655"/>
    <w:link w:val="11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56">
    <w:name w:val="列出段落211"/>
    <w:basedOn w:val="1131"/>
    <w:next w:val="1656"/>
    <w:link w:val="1131"/>
    <w:uiPriority w:val="34"/>
    <w:qFormat/>
    <w:pPr>
      <w:ind w:firstLine="420"/>
      <w:jc w:val="left"/>
      <w:widowControl/>
    </w:pPr>
    <w:rPr>
      <w:rFonts w:ascii="Times New Roman" w:hAnsi="Times New Roman"/>
      <w:sz w:val="20"/>
      <w:szCs w:val="20"/>
      <w:lang w:eastAsia="en-US"/>
    </w:rPr>
  </w:style>
  <w:style w:type="paragraph" w:styleId="1657">
    <w:name w:val="font7"/>
    <w:basedOn w:val="1131"/>
    <w:next w:val="1657"/>
    <w:link w:val="1131"/>
    <w:qFormat/>
    <w:pPr>
      <w:jc w:val="left"/>
      <w:spacing w:before="100" w:beforeAutospacing="1" w:after="100" w:afterAutospacing="1"/>
      <w:widowControl/>
    </w:pPr>
    <w:rPr>
      <w:rFonts w:ascii="Times New Roman" w:hAnsi="Times New Roman" w:eastAsia="Arial Unicode MS"/>
      <w:b/>
      <w:bCs/>
      <w:color w:val="000000"/>
      <w:sz w:val="20"/>
      <w:szCs w:val="20"/>
    </w:rPr>
  </w:style>
  <w:style w:type="paragraph" w:styleId="1658">
    <w:name w:val="xl51"/>
    <w:basedOn w:val="1131"/>
    <w:next w:val="1658"/>
    <w:link w:val="11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59">
    <w:name w:val="xl49"/>
    <w:basedOn w:val="1131"/>
    <w:next w:val="1659"/>
    <w:link w:val="11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60">
    <w:name w:val="xl46"/>
    <w:basedOn w:val="1131"/>
    <w:next w:val="1660"/>
    <w:link w:val="1131"/>
    <w:qFormat/>
    <w:pPr>
      <w:jc w:val="left"/>
      <w:spacing w:before="100" w:beforeAutospacing="1" w:after="100" w:afterAutospacing="1"/>
      <w:widowControl/>
    </w:pPr>
    <w:rPr>
      <w:rFonts w:ascii="Arial Unicode MS" w:hAnsi="Arial Unicode MS" w:eastAsia="Arial Unicode MS"/>
      <w:sz w:val="24"/>
      <w:szCs w:val="24"/>
    </w:rPr>
  </w:style>
  <w:style w:type="paragraph" w:styleId="1661">
    <w:name w:val="font8"/>
    <w:basedOn w:val="1131"/>
    <w:next w:val="1661"/>
    <w:link w:val="1131"/>
    <w:qFormat/>
    <w:pPr>
      <w:jc w:val="left"/>
      <w:spacing w:before="100" w:beforeAutospacing="1" w:after="100" w:afterAutospacing="1"/>
      <w:widowControl/>
    </w:pPr>
    <w:rPr>
      <w:rFonts w:hint="eastAsia" w:ascii="宋体" w:hAnsi="宋体"/>
      <w:color w:val="000000"/>
      <w:sz w:val="20"/>
      <w:szCs w:val="20"/>
    </w:rPr>
  </w:style>
  <w:style w:type="paragraph" w:styleId="1662">
    <w:name w:val="font12"/>
    <w:basedOn w:val="1131"/>
    <w:next w:val="1662"/>
    <w:link w:val="1131"/>
    <w:qFormat/>
    <w:pPr>
      <w:jc w:val="left"/>
      <w:spacing w:before="100" w:beforeAutospacing="1" w:after="100" w:afterAutospacing="1"/>
      <w:widowControl/>
    </w:pPr>
    <w:rPr>
      <w:rFonts w:ascii="Times New Roman" w:hAnsi="Times New Roman" w:eastAsia="Arial Unicode MS"/>
      <w:b/>
      <w:bCs/>
      <w:sz w:val="20"/>
      <w:szCs w:val="20"/>
    </w:rPr>
  </w:style>
  <w:style w:type="paragraph" w:styleId="1663">
    <w:name w:val="xl32"/>
    <w:basedOn w:val="1131"/>
    <w:next w:val="1663"/>
    <w:link w:val="1131"/>
    <w:qFormat/>
    <w:pPr>
      <w:jc w:val="left"/>
      <w:spacing w:before="100" w:beforeAutospacing="1" w:after="100" w:afterAutospacing="1"/>
      <w:widowControl/>
    </w:pPr>
    <w:rPr>
      <w:rFonts w:ascii="Tahoma" w:hAnsi="Tahoma" w:eastAsia="Arial Unicode MS" w:cs="Tahoma"/>
      <w:sz w:val="16"/>
      <w:szCs w:val="16"/>
    </w:rPr>
  </w:style>
  <w:style w:type="paragraph" w:styleId="1664">
    <w:name w:val="Style First line:  1.71 ch"/>
    <w:basedOn w:val="1131"/>
    <w:next w:val="1664"/>
    <w:link w:val="1131"/>
    <w:qFormat/>
    <w:pPr>
      <w:ind w:firstLine="359"/>
      <w:spacing w:line="360" w:lineRule="auto"/>
    </w:pPr>
    <w:rPr>
      <w:rFonts w:ascii="Times New Roman" w:hAnsi="Times New Roman"/>
      <w:sz w:val="24"/>
      <w:szCs w:val="20"/>
    </w:rPr>
  </w:style>
  <w:style w:type="paragraph" w:styleId="1665">
    <w:name w:val="TOC 标题2"/>
    <w:basedOn w:val="1331"/>
    <w:next w:val="1131"/>
    <w:link w:val="1131"/>
    <w:uiPriority w:val="39"/>
    <w:qFormat/>
    <w:pPr>
      <w:jc w:val="left"/>
      <w:keepLines/>
      <w:spacing w:before="240" w:line="259" w:lineRule="auto"/>
      <w:widowControl/>
      <w:outlineLvl w:val="9"/>
    </w:pPr>
    <w:rPr>
      <w:rFonts w:ascii="Cambria" w:hAnsi="Cambria" w:eastAsia="宋体" w:cs="Times New Roman"/>
      <w:color w:val="365f91"/>
      <w:sz w:val="32"/>
      <w:szCs w:val="32"/>
    </w:rPr>
  </w:style>
  <w:style w:type="paragraph" w:styleId="1666">
    <w:name w:val="xl52"/>
    <w:basedOn w:val="1131"/>
    <w:next w:val="1666"/>
    <w:link w:val="11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67">
    <w:name w:val="xl37"/>
    <w:basedOn w:val="1131"/>
    <w:next w:val="1667"/>
    <w:link w:val="11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68">
    <w:name w:val="列出段落21"/>
    <w:basedOn w:val="1131"/>
    <w:next w:val="1668"/>
    <w:link w:val="1131"/>
    <w:qFormat/>
    <w:pPr>
      <w:ind w:firstLine="420"/>
      <w:jc w:val="left"/>
      <w:widowControl/>
    </w:pPr>
    <w:rPr>
      <w:rFonts w:ascii="Times New Roman" w:hAnsi="Times New Roman"/>
      <w:sz w:val="20"/>
      <w:szCs w:val="20"/>
      <w:lang w:eastAsia="en-US"/>
    </w:rPr>
  </w:style>
  <w:style w:type="paragraph" w:styleId="1669">
    <w:name w:val="xl60"/>
    <w:basedOn w:val="1131"/>
    <w:next w:val="1669"/>
    <w:link w:val="11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Cs w:val="21"/>
    </w:rPr>
  </w:style>
  <w:style w:type="table" w:styleId="1670">
    <w:name w:val="网格型1"/>
    <w:basedOn w:val="1353"/>
    <w:next w:val="1670"/>
    <w:link w:val="1131"/>
    <w:uiPriority w:val="39"/>
    <w:qFormat/>
    <w:rPr>
      <w:sz w:val="21"/>
      <w:szCs w:val="22"/>
    </w:rPr>
    <w:tblPr/>
  </w:style>
  <w:style w:type="paragraph" w:styleId="1671">
    <w:name w:val="样式 标题 2 + Times New Roman 四号 非加粗 段前: 5 磅 段后: 0 磅 行距: 固定值 20..."/>
    <w:basedOn w:val="1333"/>
    <w:next w:val="1671"/>
    <w:link w:val="1131"/>
    <w:qFormat/>
    <w:pPr>
      <w:jc w:val="both"/>
      <w:spacing w:before="100" w:after="0" w:line="400" w:lineRule="exact"/>
    </w:pPr>
    <w:rPr>
      <w:rFonts w:ascii="Times New Roman" w:hAnsi="Times New Roman" w:eastAsia="黑体" w:cs="宋体"/>
      <w:b w:val="0"/>
      <w:sz w:val="28"/>
    </w:rPr>
  </w:style>
  <w:style w:type="paragraph" w:styleId="1672">
    <w:name w:val="样式 标题 3 + (中文) 黑体 小四 非加粗 段前: 7.8 磅 段后: 0 磅 行距: 固定值 20 磅"/>
    <w:basedOn w:val="1337"/>
    <w:next w:val="1672"/>
    <w:link w:val="1131"/>
    <w:qFormat/>
    <w:pPr>
      <w:spacing w:before="0" w:after="0" w:line="400" w:lineRule="exact"/>
    </w:pPr>
    <w:rPr>
      <w:rFonts w:eastAsia="黑体" w:cs="宋体"/>
      <w:b w:val="0"/>
      <w:sz w:val="24"/>
    </w:rPr>
  </w:style>
  <w:style w:type="paragraph" w:styleId="1673">
    <w:name w:val="正文文本1"/>
    <w:basedOn w:val="1567"/>
    <w:next w:val="1574"/>
    <w:link w:val="1131"/>
    <w:qFormat/>
    <w:pPr>
      <w:spacing w:after="120"/>
    </w:pPr>
    <w:rPr>
      <w:lang w:val="en-US" w:eastAsia="en-US"/>
    </w:rPr>
  </w:style>
  <w:style w:type="paragraph" w:styleId="1674">
    <w:name w:val="标题 21"/>
    <w:basedOn w:val="1131"/>
    <w:next w:val="1645"/>
    <w:link w:val="1131"/>
    <w:qFormat/>
    <w:pPr>
      <w:keepLines/>
      <w:keepNext/>
      <w:spacing w:before="260" w:after="260" w:line="416" w:lineRule="auto"/>
      <w:outlineLvl w:val="1"/>
    </w:pPr>
    <w:rPr>
      <w:rFonts w:ascii="Cambria" w:hAnsi="Cambria"/>
      <w:b/>
      <w:bCs/>
      <w:sz w:val="32"/>
      <w:szCs w:val="32"/>
    </w:rPr>
  </w:style>
  <w:style w:type="paragraph" w:styleId="1675">
    <w:name w:val="普通(网站)1"/>
    <w:basedOn w:val="1131"/>
    <w:next w:val="1675"/>
    <w:link w:val="1131"/>
    <w:uiPriority w:val="99"/>
    <w:unhideWhenUsed/>
    <w:qFormat/>
    <w:pPr>
      <w:jc w:val="left"/>
    </w:pPr>
    <w:rPr>
      <w:rFonts w:ascii="Calibri" w:hAnsi="Calibri" w:eastAsia="宋体" w:cs="Times New Roman"/>
      <w:sz w:val="24"/>
      <w:szCs w:val="24"/>
    </w:rPr>
  </w:style>
  <w:style w:type="character" w:styleId="1676">
    <w:name w:val="font31"/>
    <w:next w:val="1676"/>
    <w:link w:val="1131"/>
    <w:qFormat/>
    <w:rPr>
      <w:rFonts w:hint="eastAsia" w:ascii="宋体" w:hAnsi="宋体" w:eastAsia="宋体" w:cs="宋体"/>
      <w:b/>
      <w:bCs/>
      <w:color w:val="000000"/>
      <w:sz w:val="20"/>
      <w:szCs w:val="20"/>
      <w:u w:val="none"/>
    </w:rPr>
  </w:style>
  <w:style w:type="paragraph" w:styleId="1677">
    <w:name w:val="页眉1"/>
    <w:basedOn w:val="1131"/>
    <w:next w:val="1677"/>
    <w:link w:val="113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678">
    <w:name w:val="font21"/>
    <w:next w:val="1678"/>
    <w:link w:val="1131"/>
    <w:qFormat/>
    <w:rPr>
      <w:rFonts w:hint="eastAsia" w:ascii="宋体" w:hAnsi="宋体" w:eastAsia="宋体" w:cs="宋体"/>
      <w:color w:val="000000"/>
      <w:sz w:val="20"/>
      <w:szCs w:val="20"/>
      <w:u w:val="none"/>
    </w:rPr>
  </w:style>
  <w:style w:type="character" w:styleId="1679">
    <w:name w:val="font41"/>
    <w:next w:val="1679"/>
    <w:link w:val="1131"/>
    <w:qFormat/>
    <w:rPr>
      <w:rFonts w:hint="eastAsia" w:ascii="黑体" w:hAnsi="宋体" w:eastAsia="黑体" w:cs="黑体"/>
      <w:b/>
      <w:bCs/>
      <w:color w:val="000000"/>
      <w:sz w:val="40"/>
      <w:szCs w:val="40"/>
      <w:u w:val="none"/>
    </w:rPr>
  </w:style>
  <w:style w:type="character" w:styleId="1680">
    <w:name w:val="font51"/>
    <w:next w:val="1680"/>
    <w:link w:val="1131"/>
    <w:qFormat/>
    <w:rPr>
      <w:rFonts w:hint="eastAsia" w:ascii="宋体" w:hAnsi="宋体" w:eastAsia="宋体" w:cs="宋体"/>
      <w:b/>
      <w:bCs/>
      <w:color w:val="000000"/>
      <w:sz w:val="40"/>
      <w:szCs w:val="40"/>
      <w:u w:val="none"/>
    </w:rPr>
  </w:style>
  <w:style w:type="character" w:styleId="1681">
    <w:name w:val="font61"/>
    <w:next w:val="1681"/>
    <w:link w:val="1131"/>
    <w:qFormat/>
    <w:rPr>
      <w:rFonts w:ascii="Times New Roman" w:hAnsi="Times New Roman" w:cs="Times New Roman"/>
      <w:color w:val="000000"/>
      <w:sz w:val="20"/>
      <w:szCs w:val="20"/>
      <w:u w:val="none"/>
    </w:rPr>
  </w:style>
  <w:style w:type="character" w:styleId="1682">
    <w:name w:val="font01"/>
    <w:next w:val="1682"/>
    <w:link w:val="1131"/>
    <w:qFormat/>
    <w:rPr>
      <w:rFonts w:ascii="Times New Roman" w:hAnsi="Times New Roman" w:cs="Times New Roman"/>
      <w:b/>
      <w:bCs/>
      <w:color w:val="000000"/>
      <w:sz w:val="40"/>
      <w:szCs w:val="40"/>
      <w:u w:val="none"/>
    </w:rPr>
  </w:style>
  <w:style w:type="character" w:styleId="1683">
    <w:name w:val="edui-unclickable"/>
    <w:next w:val="1683"/>
    <w:link w:val="1131"/>
    <w:qFormat/>
    <w:rPr>
      <w:color w:val="808080"/>
    </w:rPr>
  </w:style>
  <w:style w:type="character" w:styleId="1684">
    <w:name w:val="l-selected2"/>
    <w:next w:val="1684"/>
    <w:link w:val="1131"/>
    <w:qFormat/>
    <w:rPr>
      <w:color w:val="355686"/>
      <w:shd w:val="clear" w:color="auto" w:fill="ffffff"/>
    </w:rPr>
  </w:style>
  <w:style w:type="character" w:styleId="1685">
    <w:name w:val="edui-clickable2"/>
    <w:next w:val="1685"/>
    <w:link w:val="1131"/>
    <w:qFormat/>
    <w:rPr>
      <w:color w:val="0000ff"/>
      <w:u w:val="single"/>
    </w:rPr>
  </w:style>
  <w:style w:type="character" w:styleId="1686">
    <w:name w:val="searchs"/>
    <w:basedOn w:val="1141"/>
    <w:next w:val="1686"/>
    <w:link w:val="1131"/>
    <w:qFormat/>
  </w:style>
  <w:style w:type="character" w:styleId="1687">
    <w:name w:val="fieldsets"/>
    <w:basedOn w:val="1141"/>
    <w:next w:val="1687"/>
    <w:link w:val="1131"/>
    <w:qFormat/>
  </w:style>
  <w:style w:type="character" w:styleId="1688">
    <w:name w:val="fieldsetf"/>
    <w:basedOn w:val="1141"/>
    <w:next w:val="1688"/>
    <w:link w:val="1131"/>
    <w:qFormat/>
  </w:style>
  <w:style w:type="character" w:styleId="1689">
    <w:name w:val="l-over"/>
    <w:next w:val="1689"/>
    <w:link w:val="1131"/>
    <w:qFormat/>
  </w:style>
  <w:style w:type="character" w:styleId="1690">
    <w:name w:val="l-open"/>
    <w:basedOn w:val="1141"/>
    <w:next w:val="1690"/>
    <w:link w:val="1131"/>
    <w:qFormat/>
  </w:style>
  <w:style w:type="character" w:styleId="1691">
    <w:name w:val="ruweitli_l"/>
    <w:basedOn w:val="1141"/>
    <w:next w:val="1691"/>
    <w:link w:val="1131"/>
    <w:qFormat/>
  </w:style>
  <w:style w:type="character" w:styleId="1692">
    <w:name w:val="ruweitli_r"/>
    <w:basedOn w:val="1141"/>
    <w:next w:val="1692"/>
    <w:link w:val="1131"/>
    <w:qFormat/>
  </w:style>
  <w:style w:type="character" w:styleId="1693">
    <w:name w:val="searchf"/>
    <w:basedOn w:val="1141"/>
    <w:next w:val="1693"/>
    <w:link w:val="1131"/>
    <w:qFormat/>
  </w:style>
  <w:style w:type="character" w:styleId="1694">
    <w:name w:val="dbrwr_aclil"/>
    <w:basedOn w:val="1141"/>
    <w:next w:val="1694"/>
    <w:link w:val="1131"/>
    <w:qFormat/>
  </w:style>
  <w:style w:type="character" w:styleId="1695">
    <w:name w:val="dbrwr_aclir"/>
    <w:next w:val="1695"/>
    <w:link w:val="1131"/>
    <w:qFormat/>
    <w:rPr>
      <w:color w:val="999999"/>
    </w:rPr>
  </w:style>
  <w:style w:type="paragraph" w:styleId="1696">
    <w:name w:val="_Style 554"/>
    <w:basedOn w:val="1131"/>
    <w:next w:val="1131"/>
    <w:link w:val="1131"/>
    <w:qFormat/>
    <w:pPr>
      <w:jc w:val="center"/>
      <w:pBdr>
        <w:bottom w:val="single" w:color="000000" w:sz="6" w:space="1"/>
      </w:pBdr>
    </w:pPr>
    <w:rPr>
      <w:rFonts w:ascii="Arial" w:eastAsia="宋体"/>
      <w:vanish/>
      <w:sz w:val="16"/>
    </w:rPr>
  </w:style>
  <w:style w:type="paragraph" w:styleId="1697">
    <w:name w:val="_Style 555"/>
    <w:basedOn w:val="1131"/>
    <w:next w:val="1131"/>
    <w:link w:val="1131"/>
    <w:qFormat/>
    <w:pPr>
      <w:jc w:val="center"/>
      <w:pBdr>
        <w:top w:val="single" w:color="000000" w:sz="6" w:space="1"/>
      </w:pBdr>
    </w:pPr>
    <w:rPr>
      <w:rFonts w:ascii="Arial" w:eastAsia="宋体"/>
      <w:vanish/>
      <w:sz w:val="16"/>
    </w:rPr>
  </w:style>
  <w:style w:type="paragraph" w:styleId="1698">
    <w:name w:val="标题 311"/>
    <w:basedOn w:val="1131"/>
    <w:next w:val="1131"/>
    <w:link w:val="1131"/>
    <w:uiPriority w:val="9"/>
    <w:qFormat/>
    <w:pPr>
      <w:keepLines/>
      <w:keepNext/>
      <w:spacing w:before="260" w:after="260" w:line="416" w:lineRule="atLeast"/>
      <w:outlineLvl w:val="2"/>
    </w:pPr>
    <w:rPr>
      <w:b/>
      <w:bCs/>
      <w:sz w:val="32"/>
      <w:szCs w:val="32"/>
    </w:rPr>
  </w:style>
  <w:style w:type="paragraph" w:styleId="1699">
    <w:name w:val="02-标书-标题2"/>
    <w:next w:val="1699"/>
    <w:link w:val="1131"/>
    <w:qFormat/>
    <w:pPr>
      <w:ind w:left="567" w:hanging="567"/>
      <w:spacing w:line="360" w:lineRule="auto"/>
      <w:tabs>
        <w:tab w:val="left" w:pos="567" w:leader="none"/>
      </w:tabs>
      <w:outlineLvl w:val="1"/>
    </w:pPr>
    <w:rPr>
      <w:rFonts w:ascii="黑体" w:hAnsi="宋体" w:eastAsia="黑体"/>
      <w:sz w:val="32"/>
      <w:szCs w:val="28"/>
      <w:lang w:val="en-US" w:eastAsia="zh-CN" w:bidi="ar-SA"/>
    </w:rPr>
  </w:style>
  <w:style w:type="character" w:styleId="1700">
    <w:name w:val="fontstyle01"/>
    <w:next w:val="1700"/>
    <w:link w:val="1131"/>
    <w:qFormat/>
    <w:rPr>
      <w:rFonts w:ascii="宋体" w:hAnsi="宋体" w:eastAsia="宋体" w:cs="宋体"/>
      <w:color w:val="000000"/>
      <w:sz w:val="24"/>
      <w:szCs w:val="24"/>
    </w:rPr>
  </w:style>
  <w:style w:type="character" w:styleId="1701">
    <w:name w:val="fontstyle21"/>
    <w:next w:val="1701"/>
    <w:link w:val="1131"/>
    <w:qFormat/>
    <w:rPr>
      <w:rFonts w:ascii="TimesNewRomanPSMT" w:hAnsi="TimesNewRomanPSMT" w:eastAsia="TimesNewRomanPSMT" w:cs="TimesNewRomanPSMT"/>
      <w:color w:val="000000"/>
      <w:sz w:val="24"/>
      <w:szCs w:val="24"/>
    </w:rPr>
  </w:style>
  <w:style w:type="paragraph" w:styleId="1702">
    <w:name w:val="页脚2"/>
    <w:basedOn w:val="1131"/>
    <w:next w:val="1702"/>
    <w:link w:val="1131"/>
    <w:uiPriority w:val="99"/>
    <w:unhideWhenUsed/>
    <w:qFormat/>
    <w:pPr>
      <w:jc w:val="left"/>
      <w:tabs>
        <w:tab w:val="center" w:pos="4153" w:leader="none"/>
        <w:tab w:val="right" w:pos="8306" w:leader="none"/>
      </w:tabs>
    </w:pPr>
    <w:rPr>
      <w:sz w:val="18"/>
      <w:szCs w:val="18"/>
    </w:rPr>
  </w:style>
  <w:style w:type="paragraph" w:styleId="1703">
    <w:name w:val="footer1"/>
    <w:basedOn w:val="1131"/>
    <w:next w:val="1703"/>
    <w:link w:val="1131"/>
    <w:qFormat/>
    <w:pPr>
      <w:tabs>
        <w:tab w:val="center" w:pos="4153" w:leader="none"/>
        <w:tab w:val="right" w:pos="8306" w:leader="none"/>
      </w:tabs>
    </w:pPr>
    <w:rPr>
      <w:sz w:val="18"/>
    </w:rPr>
  </w:style>
  <w:style w:type="paragraph" w:styleId="1704">
    <w:name w:val="列出段落12"/>
    <w:basedOn w:val="1131"/>
    <w:next w:val="1704"/>
    <w:link w:val="1131"/>
    <w:qFormat/>
    <w:pPr>
      <w:ind w:firstLine="420"/>
    </w:pPr>
  </w:style>
  <w:style w:type="paragraph" w:styleId="1705">
    <w:name w:val="Normal_2_0"/>
    <w:next w:val="1705"/>
    <w:link w:val="1131"/>
    <w:qFormat/>
    <w:rPr>
      <w:rFonts w:eastAsia="Times New Roman"/>
      <w:sz w:val="24"/>
      <w:szCs w:val="24"/>
      <w:lang w:val="en-US" w:eastAsia="zh-CN" w:bidi="ar-SA"/>
    </w:rPr>
  </w:style>
  <w:style w:type="paragraph" w:styleId="1706">
    <w:name w:val="Normal_3_0"/>
    <w:next w:val="1706"/>
    <w:link w:val="1131"/>
    <w:qFormat/>
    <w:rPr>
      <w:rFonts w:eastAsia="Times New Roman"/>
      <w:sz w:val="24"/>
      <w:szCs w:val="24"/>
      <w:lang w:val="en-US" w:eastAsia="zh-CN" w:bidi="ar-SA"/>
    </w:rPr>
  </w:style>
  <w:style w:type="paragraph" w:styleId="1707">
    <w:name w:val="Normal_4_0"/>
    <w:next w:val="1707"/>
    <w:link w:val="1131"/>
    <w:qFormat/>
    <w:rPr>
      <w:rFonts w:eastAsia="Times New Roman"/>
      <w:sz w:val="24"/>
      <w:szCs w:val="24"/>
      <w:lang w:val="en-US" w:eastAsia="zh-CN" w:bidi="ar-SA"/>
    </w:rPr>
  </w:style>
  <w:style w:type="paragraph" w:styleId="1708">
    <w:name w:val="Normal_5_0"/>
    <w:next w:val="1708"/>
    <w:link w:val="1131"/>
    <w:qFormat/>
    <w:rPr>
      <w:rFonts w:eastAsia="Times New Roman"/>
      <w:sz w:val="24"/>
      <w:szCs w:val="24"/>
      <w:lang w:val="en-US" w:eastAsia="zh-CN" w:bidi="ar-SA"/>
    </w:rPr>
  </w:style>
  <w:style w:type="paragraph" w:styleId="1709">
    <w:name w:val="正文_1_0"/>
    <w:next w:val="1709"/>
    <w:link w:val="1131"/>
    <w:qFormat/>
    <w:pPr>
      <w:jc w:val="both"/>
      <w:widowControl w:val="off"/>
    </w:pPr>
    <w:rPr>
      <w:rFonts w:ascii="Calibri" w:hAnsi="Calibri"/>
      <w:sz w:val="21"/>
      <w:szCs w:val="22"/>
      <w:lang w:val="en-US" w:eastAsia="zh-CN" w:bidi="ar-SA"/>
    </w:rPr>
  </w:style>
  <w:style w:type="paragraph" w:styleId="1710">
    <w:name w:val="正文_2"/>
    <w:next w:val="1710"/>
    <w:link w:val="1131"/>
    <w:qFormat/>
    <w:pPr>
      <w:jc w:val="both"/>
      <w:widowControl w:val="off"/>
    </w:pPr>
    <w:rPr>
      <w:rFonts w:ascii="Calibri" w:hAnsi="Calibri"/>
      <w:sz w:val="21"/>
      <w:szCs w:val="22"/>
      <w:lang w:val="en-US" w:eastAsia="zh-CN" w:bidi="ar-SA"/>
    </w:rPr>
  </w:style>
  <w:style w:type="paragraph" w:styleId="1711">
    <w:name w:val="正文_4_0"/>
    <w:next w:val="1711"/>
    <w:link w:val="1131"/>
    <w:qFormat/>
    <w:pPr>
      <w:jc w:val="both"/>
      <w:widowControl w:val="off"/>
    </w:pPr>
    <w:rPr>
      <w:rFonts w:ascii="Calibri" w:hAnsi="Calibri"/>
      <w:sz w:val="21"/>
      <w:szCs w:val="22"/>
      <w:lang w:val="en-US" w:eastAsia="zh-CN" w:bidi="ar-SA"/>
    </w:rPr>
  </w:style>
  <w:style w:type="paragraph" w:styleId="1712">
    <w:name w:val="正文_6"/>
    <w:next w:val="1712"/>
    <w:link w:val="1131"/>
    <w:qFormat/>
    <w:pPr>
      <w:jc w:val="both"/>
      <w:widowControl w:val="off"/>
    </w:pPr>
    <w:rPr>
      <w:rFonts w:ascii="Calibri" w:hAnsi="Calibri"/>
      <w:sz w:val="21"/>
      <w:szCs w:val="22"/>
      <w:lang w:val="en-US" w:eastAsia="zh-CN" w:bidi="ar-SA"/>
    </w:rPr>
  </w:style>
  <w:style w:type="paragraph" w:styleId="1713">
    <w:name w:val="正文_7"/>
    <w:next w:val="1713"/>
    <w:link w:val="1131"/>
    <w:qFormat/>
    <w:pPr>
      <w:jc w:val="both"/>
      <w:widowControl w:val="off"/>
    </w:pPr>
    <w:rPr>
      <w:rFonts w:ascii="Calibri" w:hAnsi="Calibri"/>
      <w:sz w:val="21"/>
      <w:szCs w:val="22"/>
      <w:lang w:val="en-US" w:eastAsia="zh-CN" w:bidi="ar-SA"/>
    </w:rPr>
  </w:style>
  <w:style w:type="paragraph" w:styleId="1714">
    <w:name w:val="标题 2_0"/>
    <w:basedOn w:val="1715"/>
    <w:next w:val="1715"/>
    <w:link w:val="1131"/>
    <w:uiPriority w:val="9"/>
    <w:qFormat/>
    <w:pPr>
      <w:jc w:val="center"/>
      <w:keepLines/>
      <w:keepNext/>
      <w:spacing w:before="260" w:after="260" w:line="416" w:lineRule="auto"/>
      <w:outlineLvl w:val="1"/>
    </w:pPr>
    <w:rPr>
      <w:rFonts w:ascii="幼圆" w:hAnsi="Arial" w:eastAsia="楷体_GB2312"/>
      <w:b/>
      <w:sz w:val="44"/>
      <w:szCs w:val="20"/>
    </w:rPr>
  </w:style>
  <w:style w:type="paragraph" w:styleId="1715">
    <w:name w:val="正文_8"/>
    <w:next w:val="1716"/>
    <w:link w:val="1131"/>
    <w:qFormat/>
    <w:pPr>
      <w:jc w:val="both"/>
      <w:widowControl w:val="off"/>
    </w:pPr>
    <w:rPr>
      <w:rFonts w:ascii="Calibri" w:hAnsi="Calibri"/>
      <w:sz w:val="21"/>
      <w:szCs w:val="22"/>
      <w:lang w:val="en-US" w:eastAsia="zh-CN" w:bidi="ar-SA"/>
    </w:rPr>
  </w:style>
  <w:style w:type="paragraph" w:styleId="1716">
    <w:name w:val="正文文本缩进_1"/>
    <w:basedOn w:val="1715"/>
    <w:next w:val="1716"/>
    <w:link w:val="1131"/>
    <w:uiPriority w:val="99"/>
    <w:qFormat/>
    <w:pPr>
      <w:ind w:firstLine="645"/>
    </w:pPr>
    <w:rPr>
      <w:rFonts w:ascii="楷体_GB2312" w:eastAsia="楷体_GB2312"/>
      <w:sz w:val="32"/>
      <w:szCs w:val="20"/>
    </w:rPr>
  </w:style>
  <w:style w:type="paragraph" w:styleId="1717">
    <w:name w:val="Normal_16"/>
    <w:next w:val="1717"/>
    <w:link w:val="1131"/>
    <w:qFormat/>
    <w:rPr>
      <w:rFonts w:eastAsia="Times New Roman"/>
      <w:sz w:val="24"/>
      <w:szCs w:val="24"/>
      <w:lang w:val="en-US" w:eastAsia="zh-CN" w:bidi="ar-SA"/>
    </w:rPr>
  </w:style>
  <w:style w:type="paragraph" w:styleId="1718">
    <w:name w:val="Normal_17"/>
    <w:next w:val="1718"/>
    <w:link w:val="1131"/>
    <w:qFormat/>
    <w:pPr>
      <w:jc w:val="both"/>
      <w:widowControl w:val="off"/>
    </w:pPr>
    <w:rPr>
      <w:sz w:val="21"/>
      <w:szCs w:val="24"/>
      <w:lang w:val="en-US" w:eastAsia="zh-CN" w:bidi="ar-SA"/>
    </w:rPr>
  </w:style>
  <w:style w:type="paragraph" w:styleId="1719">
    <w:name w:val="Normal_18"/>
    <w:next w:val="1719"/>
    <w:link w:val="1131"/>
    <w:qFormat/>
    <w:rPr>
      <w:rFonts w:eastAsia="Times New Roman"/>
      <w:sz w:val="24"/>
      <w:szCs w:val="24"/>
      <w:lang w:val="en-US" w:eastAsia="zh-CN" w:bidi="ar-SA"/>
    </w:rPr>
  </w:style>
  <w:style w:type="paragraph" w:styleId="1720">
    <w:name w:val="Normal_19"/>
    <w:next w:val="1720"/>
    <w:link w:val="1131"/>
    <w:qFormat/>
    <w:rPr>
      <w:rFonts w:eastAsia="Times New Roman"/>
      <w:sz w:val="24"/>
      <w:szCs w:val="24"/>
      <w:lang w:val="en-US" w:eastAsia="zh-CN" w:bidi="ar-SA"/>
    </w:rPr>
  </w:style>
  <w:style w:type="paragraph" w:styleId="1721">
    <w:name w:val="正文_9"/>
    <w:next w:val="1721"/>
    <w:link w:val="1131"/>
    <w:qFormat/>
    <w:pPr>
      <w:jc w:val="both"/>
      <w:widowControl w:val="off"/>
    </w:pPr>
    <w:rPr>
      <w:rFonts w:ascii="Calibri" w:hAnsi="Calibri"/>
      <w:sz w:val="21"/>
      <w:szCs w:val="22"/>
      <w:lang w:val="en-US" w:eastAsia="zh-CN" w:bidi="ar-SA"/>
    </w:rPr>
  </w:style>
  <w:style w:type="paragraph" w:styleId="1722">
    <w:name w:val="Normal_20"/>
    <w:next w:val="1722"/>
    <w:link w:val="1131"/>
    <w:qFormat/>
    <w:rPr>
      <w:rFonts w:eastAsia="Times New Roman"/>
      <w:sz w:val="24"/>
      <w:szCs w:val="24"/>
      <w:lang w:val="en-US" w:eastAsia="zh-CN" w:bidi="ar-SA"/>
    </w:rPr>
  </w:style>
  <w:style w:type="paragraph" w:styleId="1723">
    <w:name w:val="Normal_24"/>
    <w:next w:val="1723"/>
    <w:link w:val="1131"/>
    <w:qFormat/>
    <w:rPr>
      <w:rFonts w:eastAsia="Times New Roman"/>
      <w:sz w:val="24"/>
      <w:szCs w:val="24"/>
      <w:lang w:val="en-US" w:eastAsia="zh-CN" w:bidi="ar-SA"/>
    </w:rPr>
  </w:style>
  <w:style w:type="paragraph" w:styleId="1724">
    <w:name w:val="Normal_25"/>
    <w:next w:val="1724"/>
    <w:link w:val="1131"/>
    <w:qFormat/>
    <w:rPr>
      <w:rFonts w:eastAsia="Times New Roman"/>
      <w:sz w:val="24"/>
      <w:szCs w:val="24"/>
      <w:lang w:val="en-US" w:eastAsia="zh-CN" w:bidi="ar-SA"/>
    </w:rPr>
  </w:style>
  <w:style w:type="paragraph" w:styleId="1725">
    <w:name w:val="Normal_26"/>
    <w:next w:val="1725"/>
    <w:link w:val="1131"/>
    <w:qFormat/>
    <w:rPr>
      <w:rFonts w:eastAsia="Times New Roman"/>
      <w:sz w:val="24"/>
      <w:szCs w:val="24"/>
      <w:lang w:val="en-US" w:eastAsia="zh-CN" w:bidi="ar-SA"/>
    </w:rPr>
  </w:style>
  <w:style w:type="paragraph" w:styleId="1726">
    <w:name w:val="正文_14"/>
    <w:next w:val="1726"/>
    <w:link w:val="1131"/>
    <w:qFormat/>
    <w:pPr>
      <w:jc w:val="both"/>
      <w:widowControl w:val="off"/>
    </w:pPr>
    <w:rPr>
      <w:rFonts w:ascii="Calibri" w:hAnsi="Calibri"/>
      <w:sz w:val="21"/>
      <w:szCs w:val="22"/>
      <w:lang w:val="en-US" w:eastAsia="zh-CN" w:bidi="ar-SA"/>
    </w:rPr>
  </w:style>
  <w:style w:type="paragraph" w:styleId="1727">
    <w:name w:val="Normal_27"/>
    <w:next w:val="1727"/>
    <w:link w:val="1131"/>
    <w:qFormat/>
    <w:rPr>
      <w:rFonts w:eastAsia="Times New Roman"/>
      <w:sz w:val="24"/>
      <w:szCs w:val="24"/>
      <w:lang w:val="en-US" w:eastAsia="zh-CN" w:bidi="ar-SA"/>
    </w:rPr>
  </w:style>
  <w:style w:type="paragraph" w:styleId="1728">
    <w:name w:val="列出段落111"/>
    <w:basedOn w:val="1131"/>
    <w:next w:val="1728"/>
    <w:link w:val="1131"/>
    <w:qFormat/>
    <w:pPr>
      <w:ind w:firstLine="420"/>
    </w:pPr>
    <w:rPr>
      <w:rFonts w:ascii="Calibri" w:hAnsi="Calibri" w:cs="Calibri"/>
      <w:szCs w:val="21"/>
    </w:rPr>
  </w:style>
  <w:style w:type="paragraph" w:styleId="1729">
    <w:name w:val="标题 2 + Times New Roman 居中 段前: 0 磅 段后: 0 磅 行距: 单倍行距 + 段前..."/>
    <w:basedOn w:val="1131"/>
    <w:next w:val="1729"/>
    <w:link w:val="1131"/>
    <w:qFormat/>
    <w:pPr>
      <w:jc w:val="center"/>
      <w:keepLines/>
      <w:keepNext/>
      <w:spacing w:before="150" w:after="100"/>
      <w:outlineLvl w:val="1"/>
    </w:pPr>
    <w:rPr>
      <w:rFonts w:eastAsia="黑体"/>
      <w:b/>
      <w:bCs/>
      <w:sz w:val="32"/>
      <w:szCs w:val="20"/>
    </w:rPr>
  </w:style>
  <w:style w:type="paragraph" w:styleId="1730">
    <w:name w:val="索引 11"/>
    <w:basedOn w:val="1131"/>
    <w:next w:val="1131"/>
    <w:link w:val="1131"/>
    <w:uiPriority w:val="99"/>
    <w:qFormat/>
    <w:pPr>
      <w:spacing w:line="360" w:lineRule="auto"/>
    </w:pPr>
    <w:rPr>
      <w:rFonts w:ascii="仿宋_GB2312" w:eastAsia="仿宋_GB2312"/>
      <w:sz w:val="24"/>
      <w:szCs w:val="20"/>
    </w:rPr>
  </w:style>
  <w:style w:type="character" w:styleId="1731" w:default="1">
    <w:name w:val="Default Paragraph Font"/>
    <w:uiPriority w:val="1"/>
    <w:semiHidden/>
    <w:unhideWhenUsed/>
  </w:style>
  <w:style w:type="numbering" w:styleId="1732" w:default="1">
    <w:name w:val="No List"/>
    <w:uiPriority w:val="99"/>
    <w:semiHidden/>
    <w:unhideWhenUsed/>
  </w:style>
  <w:style w:type="table" w:styleId="17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footer" Target="footer4.xml" /><Relationship Id="rId24" Type="http://schemas.openxmlformats.org/officeDocument/2006/relationships/footer" Target="footer5.xml" /><Relationship Id="rId25" Type="http://schemas.openxmlformats.org/officeDocument/2006/relationships/footer" Target="footer6.xml" /><Relationship Id="rId26" Type="http://schemas.openxmlformats.org/officeDocument/2006/relationships/footer" Target="footer7.xml" /><Relationship Id="rId27" Type="http://schemas.openxmlformats.org/officeDocument/2006/relationships/footer" Target="footer8.xml" /><Relationship Id="rId28" Type="http://schemas.openxmlformats.org/officeDocument/2006/relationships/footer" Target="footer9.xml" /><Relationship Id="rId29"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4</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dc:creator>
  <cp:lastModifiedBy>常州分公司</cp:lastModifiedBy>
  <cp:revision>5</cp:revision>
  <dcterms:created xsi:type="dcterms:W3CDTF">2025-09-26T06:29:00Z</dcterms:created>
  <dcterms:modified xsi:type="dcterms:W3CDTF">2025-11-28T07:57:35Z</dcterms:modified>
</cp:coreProperties>
</file>